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4B603" w14:textId="1AE88105" w:rsidR="00377273" w:rsidRDefault="00377273" w:rsidP="00377273">
      <w:pPr>
        <w:ind w:left="360" w:hanging="360"/>
        <w:jc w:val="center"/>
      </w:pPr>
      <w:r>
        <w:t>AI Integration in Community Colleges</w:t>
      </w:r>
    </w:p>
    <w:p w14:paraId="7408283A" w14:textId="46EB1E37" w:rsidR="00377273" w:rsidRDefault="00377273" w:rsidP="00377273">
      <w:pPr>
        <w:ind w:left="360" w:hanging="360"/>
        <w:jc w:val="center"/>
      </w:pPr>
      <w:r>
        <w:t>FY26 Questions and Answers</w:t>
      </w:r>
    </w:p>
    <w:p w14:paraId="59D463CA" w14:textId="7D7FDF68" w:rsidR="003C3CCF" w:rsidRDefault="00377273" w:rsidP="00377273">
      <w:pPr>
        <w:pStyle w:val="ListParagraph"/>
        <w:numPr>
          <w:ilvl w:val="0"/>
          <w:numId w:val="5"/>
        </w:numPr>
      </w:pPr>
      <w:r>
        <w:t>Do attachments and letters of support count against the maximum 10-page length of the proposal.</w:t>
      </w:r>
    </w:p>
    <w:p w14:paraId="3A33E728" w14:textId="7F1606AD" w:rsidR="00377273" w:rsidRDefault="00377273" w:rsidP="00377273">
      <w:pPr>
        <w:pStyle w:val="ListParagraph"/>
        <w:numPr>
          <w:ilvl w:val="0"/>
          <w:numId w:val="3"/>
        </w:numPr>
      </w:pPr>
      <w:r>
        <w:t>No. Attachments do not count. Please keep the attachments at a reasonable limit.</w:t>
      </w:r>
    </w:p>
    <w:p w14:paraId="1BC4047D" w14:textId="1D23AADF" w:rsidR="00377273" w:rsidRDefault="00377273" w:rsidP="00377273">
      <w:pPr>
        <w:tabs>
          <w:tab w:val="left" w:pos="1080"/>
        </w:tabs>
        <w:ind w:left="720" w:hanging="450"/>
      </w:pPr>
      <w:r>
        <w:t>2.</w:t>
      </w:r>
      <w:r>
        <w:tab/>
        <w:t>Please clarify the definition of a consortium.</w:t>
      </w:r>
      <w:r>
        <w:br/>
        <w:t>A.</w:t>
      </w:r>
      <w:r>
        <w:tab/>
        <w:t>A consortium is made up of community colleges. Other entities, i.e., high schools, that are involved in the project are considered partners.</w:t>
      </w:r>
    </w:p>
    <w:p w14:paraId="2F716E8E" w14:textId="23EE756B" w:rsidR="004D1BA0" w:rsidRDefault="004D1BA0" w:rsidP="00377273">
      <w:pPr>
        <w:tabs>
          <w:tab w:val="left" w:pos="1080"/>
        </w:tabs>
        <w:ind w:left="720" w:hanging="450"/>
      </w:pPr>
      <w:r>
        <w:t>3.</w:t>
      </w:r>
      <w:r>
        <w:tab/>
        <w:t>Can funds from this grant be used for non-credit courses/training?</w:t>
      </w:r>
    </w:p>
    <w:p w14:paraId="499C8802" w14:textId="3B6AFE5A" w:rsidR="004D1BA0" w:rsidRDefault="004D1BA0" w:rsidP="00377273">
      <w:pPr>
        <w:tabs>
          <w:tab w:val="left" w:pos="1080"/>
        </w:tabs>
        <w:ind w:left="720" w:hanging="450"/>
      </w:pPr>
      <w:r>
        <w:tab/>
        <w:t>A.</w:t>
      </w:r>
      <w:r>
        <w:tab/>
        <w:t>Yes. These funds can support non-credit courses/training.</w:t>
      </w:r>
    </w:p>
    <w:p w14:paraId="7833502E" w14:textId="77777777" w:rsidR="00CB1A01" w:rsidRDefault="00CB1A01" w:rsidP="00CB1A01">
      <w:pPr>
        <w:pStyle w:val="ListParagraph"/>
        <w:numPr>
          <w:ilvl w:val="0"/>
          <w:numId w:val="7"/>
        </w:numPr>
        <w:tabs>
          <w:tab w:val="left" w:pos="1080"/>
        </w:tabs>
      </w:pPr>
      <w:r w:rsidRPr="00CB1A01">
        <w:t xml:space="preserve">Can grant funds be used for cross-disciplinary AI integration within health or advanced manufacturing pathways, or must the focus be solely on computer science or information technology? </w:t>
      </w:r>
    </w:p>
    <w:p w14:paraId="1737E9E7" w14:textId="6E1C1DE2" w:rsidR="00CB1A01" w:rsidRPr="00CB1A01" w:rsidRDefault="00CB1A01" w:rsidP="00CB1A01">
      <w:pPr>
        <w:pStyle w:val="ListParagraph"/>
        <w:numPr>
          <w:ilvl w:val="0"/>
          <w:numId w:val="8"/>
        </w:numPr>
        <w:tabs>
          <w:tab w:val="left" w:pos="1080"/>
        </w:tabs>
      </w:pPr>
      <w:r w:rsidRPr="00CB1A01">
        <w:t>Yes, grant funds can be used for cross-disciplinary pathways. You do not need to focus solely on computer science or information technology or only one sector.</w:t>
      </w:r>
    </w:p>
    <w:p w14:paraId="66A65421" w14:textId="77777777" w:rsidR="00CB1A01" w:rsidRDefault="00CB1A01" w:rsidP="00CB1A01">
      <w:pPr>
        <w:numPr>
          <w:ilvl w:val="0"/>
          <w:numId w:val="6"/>
        </w:numPr>
        <w:tabs>
          <w:tab w:val="left" w:pos="1080"/>
        </w:tabs>
      </w:pPr>
      <w:r w:rsidRPr="00CB1A01">
        <w:t xml:space="preserve">Are expenditures for faculty training or curriculum development to embed AI tools (e.g., simulation software, learning analytics) allowable under “AI integration” uses? </w:t>
      </w:r>
    </w:p>
    <w:p w14:paraId="5714F6FE" w14:textId="0B420825" w:rsidR="00CB1A01" w:rsidRPr="00CB1A01" w:rsidRDefault="00CB1A01" w:rsidP="00CB1A01">
      <w:pPr>
        <w:pStyle w:val="ListParagraph"/>
        <w:numPr>
          <w:ilvl w:val="0"/>
          <w:numId w:val="9"/>
        </w:numPr>
        <w:tabs>
          <w:tab w:val="left" w:pos="1080"/>
        </w:tabs>
      </w:pPr>
      <w:r w:rsidRPr="00CB1A01">
        <w:t>Under “Project Design” you will see #1 supports curriculum and #3 supports faculty training. Both faculty training and curriculum development are eligible in the grant.</w:t>
      </w:r>
    </w:p>
    <w:p w14:paraId="5CFBB2E1" w14:textId="77777777" w:rsidR="00CB1A01" w:rsidRDefault="00CB1A01" w:rsidP="00CB1A01">
      <w:pPr>
        <w:numPr>
          <w:ilvl w:val="0"/>
          <w:numId w:val="6"/>
        </w:numPr>
        <w:tabs>
          <w:tab w:val="left" w:pos="1080"/>
        </w:tabs>
      </w:pPr>
      <w:r w:rsidRPr="00CB1A01">
        <w:t xml:space="preserve">If applying as a consortium, do all institutions need to serve students directly through the project, or can one act primarily as the lead fiscal/administrative agent? </w:t>
      </w:r>
    </w:p>
    <w:p w14:paraId="5A545154" w14:textId="68A3E1E0" w:rsidR="00CB1A01" w:rsidRPr="00CB1A01" w:rsidRDefault="00CB1A01" w:rsidP="00CB1A01">
      <w:pPr>
        <w:pStyle w:val="ListParagraph"/>
        <w:numPr>
          <w:ilvl w:val="0"/>
          <w:numId w:val="10"/>
        </w:numPr>
        <w:tabs>
          <w:tab w:val="left" w:pos="1080"/>
        </w:tabs>
      </w:pPr>
      <w:r w:rsidRPr="00CB1A01">
        <w:t>The intention of a consortium is for more students to be positively impacted with synergy from multiple institutions. Only being a fiscal/administrative agent without impacting students at that institution does not support the intention of a consortium.</w:t>
      </w:r>
    </w:p>
    <w:p w14:paraId="1829C7EA" w14:textId="77777777" w:rsidR="00CB1A01" w:rsidRDefault="00CB1A01" w:rsidP="00CB1A01">
      <w:pPr>
        <w:numPr>
          <w:ilvl w:val="0"/>
          <w:numId w:val="6"/>
        </w:numPr>
        <w:tabs>
          <w:tab w:val="left" w:pos="1080"/>
        </w:tabs>
      </w:pPr>
      <w:r w:rsidRPr="00CB1A01">
        <w:t xml:space="preserve">Can an institution participate in more than one consortium if the projects serve distinct disciplines or objectives (e.g., Nursing vs. IT)? </w:t>
      </w:r>
    </w:p>
    <w:p w14:paraId="6FC0E24C" w14:textId="1102DC16" w:rsidR="00CB1A01" w:rsidRPr="00CB1A01" w:rsidRDefault="00CB1A01" w:rsidP="00CB1A01">
      <w:pPr>
        <w:pStyle w:val="ListParagraph"/>
        <w:numPr>
          <w:ilvl w:val="0"/>
          <w:numId w:val="11"/>
        </w:numPr>
        <w:tabs>
          <w:tab w:val="left" w:pos="1080"/>
        </w:tabs>
      </w:pPr>
      <w:r w:rsidRPr="00CB1A01">
        <w:t xml:space="preserve">Yes, institutions can participate in more than one consortium. There is not </w:t>
      </w:r>
      <w:proofErr w:type="gramStart"/>
      <w:r w:rsidRPr="00CB1A01">
        <w:t>a limit</w:t>
      </w:r>
      <w:proofErr w:type="gramEnd"/>
      <w:r w:rsidRPr="00CB1A01">
        <w:t xml:space="preserve"> of institutional partnership in consortiums.</w:t>
      </w:r>
    </w:p>
    <w:p w14:paraId="1DAEEBEE" w14:textId="77777777" w:rsidR="00CB1A01" w:rsidRDefault="00CB1A01" w:rsidP="00CB1A01">
      <w:pPr>
        <w:numPr>
          <w:ilvl w:val="0"/>
          <w:numId w:val="6"/>
        </w:numPr>
        <w:tabs>
          <w:tab w:val="left" w:pos="1080"/>
        </w:tabs>
      </w:pPr>
      <w:r w:rsidRPr="00CB1A01">
        <w:t xml:space="preserve">Would partnerships with non-college entities (e.g., employers, K-12 districts, workforce boards) strengthen scoring, or are only inter-college partnerships scored under the “consortium” criterion? </w:t>
      </w:r>
    </w:p>
    <w:p w14:paraId="55B67532" w14:textId="3EBF2C34" w:rsidR="00CB1A01" w:rsidRPr="00CB1A01" w:rsidRDefault="00CB1A01" w:rsidP="00CB1A01">
      <w:pPr>
        <w:pStyle w:val="ListParagraph"/>
        <w:numPr>
          <w:ilvl w:val="0"/>
          <w:numId w:val="12"/>
        </w:numPr>
        <w:tabs>
          <w:tab w:val="left" w:pos="1080"/>
        </w:tabs>
        <w:ind w:left="1080"/>
      </w:pPr>
      <w:r w:rsidRPr="00CB1A01">
        <w:lastRenderedPageBreak/>
        <w:t>Depending on the involvement of the partners, different criteria could be impacted. For example, if the partnerships align with the College’s Strategic Plan or includes K-12 partnerships with CCP-aligned coursework, two scoring criteria are included.</w:t>
      </w:r>
    </w:p>
    <w:p w14:paraId="6D6F06F5" w14:textId="77777777" w:rsidR="00CB1A01" w:rsidRDefault="00CB1A01" w:rsidP="00CB1A01">
      <w:pPr>
        <w:numPr>
          <w:ilvl w:val="0"/>
          <w:numId w:val="6"/>
        </w:numPr>
        <w:tabs>
          <w:tab w:val="left" w:pos="1080"/>
        </w:tabs>
      </w:pPr>
      <w:r w:rsidRPr="00CB1A01">
        <w:t>Do appendices, diagrams, or visual models </w:t>
      </w:r>
      <w:proofErr w:type="gramStart"/>
      <w:r w:rsidRPr="00CB1A01">
        <w:t>referenced</w:t>
      </w:r>
      <w:proofErr w:type="gramEnd"/>
      <w:r w:rsidRPr="00CB1A01">
        <w:t xml:space="preserve"> in the narrative count toward the 10-page limit, or are they exempt as attachments? </w:t>
      </w:r>
    </w:p>
    <w:p w14:paraId="53BAD51B" w14:textId="774A1A8F" w:rsidR="00CB1A01" w:rsidRPr="00CB1A01" w:rsidRDefault="00CB1A01" w:rsidP="00CB1A01">
      <w:pPr>
        <w:pStyle w:val="ListParagraph"/>
        <w:numPr>
          <w:ilvl w:val="0"/>
          <w:numId w:val="13"/>
        </w:numPr>
        <w:tabs>
          <w:tab w:val="left" w:pos="1080"/>
        </w:tabs>
      </w:pPr>
      <w:r w:rsidRPr="00CB1A01">
        <w:t xml:space="preserve">No, </w:t>
      </w:r>
      <w:r>
        <w:t xml:space="preserve">these </w:t>
      </w:r>
      <w:r w:rsidRPr="00CB1A01">
        <w:t xml:space="preserve">do not count </w:t>
      </w:r>
      <w:proofErr w:type="gramStart"/>
      <w:r w:rsidRPr="00CB1A01">
        <w:t>toward</w:t>
      </w:r>
      <w:proofErr w:type="gramEnd"/>
      <w:r w:rsidRPr="00CB1A01">
        <w:t xml:space="preserve"> the 10-page limit as they are attachments.</w:t>
      </w:r>
    </w:p>
    <w:p w14:paraId="5443CCC7" w14:textId="77777777" w:rsidR="00CB1A01" w:rsidRDefault="00CB1A01" w:rsidP="00CB1A01">
      <w:pPr>
        <w:numPr>
          <w:ilvl w:val="0"/>
          <w:numId w:val="6"/>
        </w:numPr>
        <w:tabs>
          <w:tab w:val="left" w:pos="1080"/>
        </w:tabs>
      </w:pPr>
      <w:r w:rsidRPr="00CB1A01">
        <w:t xml:space="preserve">For attachments (letters of support, MOUs, etc.), should they be combined into a single PDF or uploaded as separate files? </w:t>
      </w:r>
    </w:p>
    <w:p w14:paraId="418E53C3" w14:textId="6518CE37" w:rsidR="00CB1A01" w:rsidRPr="00CB1A01" w:rsidRDefault="00CB1A01" w:rsidP="00CB1A01">
      <w:pPr>
        <w:pStyle w:val="ListParagraph"/>
        <w:numPr>
          <w:ilvl w:val="0"/>
          <w:numId w:val="14"/>
        </w:numPr>
        <w:tabs>
          <w:tab w:val="left" w:pos="1080"/>
        </w:tabs>
      </w:pPr>
      <w:r w:rsidRPr="00CB1A01">
        <w:t xml:space="preserve">The application and attachments are to be included in </w:t>
      </w:r>
      <w:proofErr w:type="gramStart"/>
      <w:r w:rsidRPr="00CB1A01">
        <w:t>the one</w:t>
      </w:r>
      <w:proofErr w:type="gramEnd"/>
      <w:r w:rsidRPr="00CB1A01">
        <w:t xml:space="preserve"> PDF.</w:t>
      </w:r>
    </w:p>
    <w:p w14:paraId="2144CC1D" w14:textId="77777777" w:rsidR="00CB1A01" w:rsidRDefault="00CB1A01" w:rsidP="00CB1A01">
      <w:pPr>
        <w:numPr>
          <w:ilvl w:val="0"/>
          <w:numId w:val="6"/>
        </w:numPr>
        <w:tabs>
          <w:tab w:val="left" w:pos="1080"/>
        </w:tabs>
      </w:pPr>
      <w:r w:rsidRPr="00CB1A01">
        <w:t xml:space="preserve">Is there any maximum file size or limit on the number of attachments? </w:t>
      </w:r>
    </w:p>
    <w:p w14:paraId="0C302959" w14:textId="2F6064A3" w:rsidR="00CB1A01" w:rsidRPr="00CB1A01" w:rsidRDefault="00CB1A01" w:rsidP="00CB1A01">
      <w:pPr>
        <w:pStyle w:val="ListParagraph"/>
        <w:numPr>
          <w:ilvl w:val="0"/>
          <w:numId w:val="15"/>
        </w:numPr>
        <w:tabs>
          <w:tab w:val="left" w:pos="1080"/>
        </w:tabs>
      </w:pPr>
      <w:r w:rsidRPr="00CB1A01">
        <w:t>Please use reasonable judgment when submitting file size and attachments.</w:t>
      </w:r>
    </w:p>
    <w:p w14:paraId="0AF55AB0" w14:textId="77777777" w:rsidR="00CB1A01" w:rsidRDefault="00CB1A01" w:rsidP="00CB1A01">
      <w:pPr>
        <w:numPr>
          <w:ilvl w:val="0"/>
          <w:numId w:val="6"/>
        </w:numPr>
        <w:tabs>
          <w:tab w:val="left" w:pos="1080"/>
        </w:tabs>
      </w:pPr>
      <w:r w:rsidRPr="00CB1A01">
        <w:t xml:space="preserve">Can you clarify what reviewers will consider as “innovative and replicable”? For example, does use of AI for advising or student readiness tools qualify? </w:t>
      </w:r>
    </w:p>
    <w:p w14:paraId="2EAEF614" w14:textId="02305D2A" w:rsidR="00CB1A01" w:rsidRPr="00CB1A01" w:rsidRDefault="00CB1A01" w:rsidP="00CB1A01">
      <w:pPr>
        <w:pStyle w:val="ListParagraph"/>
        <w:numPr>
          <w:ilvl w:val="0"/>
          <w:numId w:val="16"/>
        </w:numPr>
        <w:tabs>
          <w:tab w:val="left" w:pos="1080"/>
        </w:tabs>
      </w:pPr>
      <w:r w:rsidRPr="00CB1A01">
        <w:t>“Innovative and replicable” is looking for new innovative ways to show a strategic shift in instructional delivery. The implementation of this shift can clearly be demonstrated to other institutions looking for something like that and can replicate those innovative ways.</w:t>
      </w:r>
    </w:p>
    <w:p w14:paraId="0CA6FCC5" w14:textId="77777777" w:rsidR="00CB1A01" w:rsidRDefault="00CB1A01" w:rsidP="00CB1A01">
      <w:pPr>
        <w:numPr>
          <w:ilvl w:val="0"/>
          <w:numId w:val="6"/>
        </w:numPr>
        <w:tabs>
          <w:tab w:val="left" w:pos="1080"/>
        </w:tabs>
      </w:pPr>
      <w:r w:rsidRPr="00CB1A01">
        <w:t xml:space="preserve">Will proposals demonstrating alignment with Workforce Pell and credentialing reforms be considered responsive or given additional consideration under innovation or impact scoring? </w:t>
      </w:r>
    </w:p>
    <w:p w14:paraId="09232055" w14:textId="60642443" w:rsidR="00CB1A01" w:rsidRPr="00CB1A01" w:rsidRDefault="00CB1A01" w:rsidP="00CB1A01">
      <w:pPr>
        <w:pStyle w:val="ListParagraph"/>
        <w:numPr>
          <w:ilvl w:val="0"/>
          <w:numId w:val="17"/>
        </w:numPr>
        <w:tabs>
          <w:tab w:val="left" w:pos="1080"/>
        </w:tabs>
      </w:pPr>
      <w:r w:rsidRPr="00CB1A01">
        <w:t xml:space="preserve">While there is nothing specific in the RFP discussing Workforce Pell and credentialing reforms, the </w:t>
      </w:r>
      <w:proofErr w:type="gramStart"/>
      <w:r w:rsidRPr="00CB1A01">
        <w:t>activity(</w:t>
      </w:r>
      <w:proofErr w:type="spellStart"/>
      <w:r w:rsidRPr="00CB1A01">
        <w:t>ies</w:t>
      </w:r>
      <w:proofErr w:type="spellEnd"/>
      <w:r w:rsidRPr="00CB1A01">
        <w:t>)</w:t>
      </w:r>
      <w:proofErr w:type="gramEnd"/>
      <w:r w:rsidRPr="00CB1A01">
        <w:t xml:space="preserve"> around these could be innovative.</w:t>
      </w:r>
    </w:p>
    <w:p w14:paraId="08526B47" w14:textId="77777777" w:rsidR="00CB1A01" w:rsidRDefault="00CB1A01" w:rsidP="00CB1A01">
      <w:pPr>
        <w:numPr>
          <w:ilvl w:val="0"/>
          <w:numId w:val="6"/>
        </w:numPr>
        <w:tabs>
          <w:tab w:val="left" w:pos="1080"/>
        </w:tabs>
      </w:pPr>
      <w:r w:rsidRPr="00CB1A01">
        <w:t xml:space="preserve">Can institutions that receive FY26 awards also apply again in FY27 if they can show scale or expansion? </w:t>
      </w:r>
    </w:p>
    <w:p w14:paraId="239BFFCC" w14:textId="52C29EB0" w:rsidR="00CB1A01" w:rsidRPr="00CB1A01" w:rsidRDefault="00CB1A01" w:rsidP="00CB1A01">
      <w:pPr>
        <w:pStyle w:val="ListParagraph"/>
        <w:numPr>
          <w:ilvl w:val="0"/>
          <w:numId w:val="18"/>
        </w:numPr>
        <w:tabs>
          <w:tab w:val="left" w:pos="1080"/>
        </w:tabs>
      </w:pPr>
      <w:r w:rsidRPr="00CB1A01">
        <w:t>There has been no discussion on FY27 guidelines.</w:t>
      </w:r>
    </w:p>
    <w:p w14:paraId="15410B1A" w14:textId="77777777" w:rsidR="00CB1A01" w:rsidRDefault="00CB1A01" w:rsidP="00CB1A01">
      <w:pPr>
        <w:numPr>
          <w:ilvl w:val="0"/>
          <w:numId w:val="6"/>
        </w:numPr>
        <w:tabs>
          <w:tab w:val="left" w:pos="1080"/>
        </w:tabs>
      </w:pPr>
      <w:r w:rsidRPr="00CB1A01">
        <w:t>Who should be the official institutional point of contact for question submission and future correspondence — the PI, Grants Office, or an appointed representative (e.g., the VP or Dean)?  </w:t>
      </w:r>
    </w:p>
    <w:p w14:paraId="32B10150" w14:textId="539DAA79" w:rsidR="00CB1A01" w:rsidRPr="00CB1A01" w:rsidRDefault="00CB1A01" w:rsidP="00CB1A01">
      <w:pPr>
        <w:pStyle w:val="ListParagraph"/>
        <w:numPr>
          <w:ilvl w:val="0"/>
          <w:numId w:val="19"/>
        </w:numPr>
        <w:tabs>
          <w:tab w:val="left" w:pos="1080"/>
        </w:tabs>
      </w:pPr>
      <w:r w:rsidRPr="00CB1A01">
        <w:t xml:space="preserve">The institution determines who will be the primary contact. The only person we require is the legal </w:t>
      </w:r>
      <w:proofErr w:type="gramStart"/>
      <w:r w:rsidRPr="00CB1A01">
        <w:t>contact</w:t>
      </w:r>
      <w:proofErr w:type="gramEnd"/>
      <w:r w:rsidRPr="00CB1A01">
        <w:t xml:space="preserve"> having the authority to review the award agreement on </w:t>
      </w:r>
      <w:r w:rsidRPr="00CB1A01">
        <w:lastRenderedPageBreak/>
        <w:t>behalf of the institution. Please review the “Cover Letter” section for contact information requirements.</w:t>
      </w:r>
    </w:p>
    <w:p w14:paraId="55EF94F3" w14:textId="77777777" w:rsidR="00CB1A01" w:rsidRDefault="00CB1A01" w:rsidP="00CB1A01">
      <w:pPr>
        <w:numPr>
          <w:ilvl w:val="0"/>
          <w:numId w:val="6"/>
        </w:numPr>
        <w:tabs>
          <w:tab w:val="left" w:pos="1080"/>
        </w:tabs>
      </w:pPr>
      <w:r w:rsidRPr="00CB1A01">
        <w:t xml:space="preserve">Will there be an opportunity for clarification or revision if ODHE determines a proposal element is ineligible before award determination? </w:t>
      </w:r>
    </w:p>
    <w:p w14:paraId="4B8C297C" w14:textId="67330E10" w:rsidR="00CB1A01" w:rsidRPr="00CB1A01" w:rsidRDefault="00CB1A01" w:rsidP="00CB1A01">
      <w:pPr>
        <w:pStyle w:val="ListParagraph"/>
        <w:numPr>
          <w:ilvl w:val="0"/>
          <w:numId w:val="20"/>
        </w:numPr>
        <w:tabs>
          <w:tab w:val="left" w:pos="1080"/>
        </w:tabs>
      </w:pPr>
      <w:r w:rsidRPr="00CB1A01">
        <w:t>The State reserves the right to fund any proposal in full or in part, to request additional information to assist in the review process, to require new proposals from interested parties, to reject any or all proposals responding to this announcement, or to reissue the announcement if it is determined that it is in the best interest of ODHE.</w:t>
      </w:r>
    </w:p>
    <w:p w14:paraId="5F349806" w14:textId="77777777" w:rsidR="00CB1A01" w:rsidRDefault="00CB1A01" w:rsidP="00CB1A01">
      <w:pPr>
        <w:numPr>
          <w:ilvl w:val="0"/>
          <w:numId w:val="6"/>
        </w:numPr>
        <w:tabs>
          <w:tab w:val="left" w:pos="1080"/>
        </w:tabs>
      </w:pPr>
      <w:r w:rsidRPr="00CB1A01">
        <w:t xml:space="preserve">Is the eligible use of "2. Establishing artificial intelligence-based College Credit Plus Program offerings" limited to the creation of new CCP offerings or does it include either a) the enhancement of existing CCP offerings or b) the enhancement of existing CCP implementations? </w:t>
      </w:r>
    </w:p>
    <w:p w14:paraId="5B206891" w14:textId="4C6274E7" w:rsidR="00CB1A01" w:rsidRPr="00CB1A01" w:rsidRDefault="00CB1A01" w:rsidP="00CB1A01">
      <w:pPr>
        <w:pStyle w:val="ListParagraph"/>
        <w:numPr>
          <w:ilvl w:val="0"/>
          <w:numId w:val="21"/>
        </w:numPr>
        <w:tabs>
          <w:tab w:val="left" w:pos="1080"/>
        </w:tabs>
      </w:pPr>
      <w:r w:rsidRPr="00CB1A01">
        <w:t>The scoring rubric</w:t>
      </w:r>
      <w:r>
        <w:t xml:space="preserve"> criteria</w:t>
      </w:r>
      <w:r w:rsidRPr="00CB1A01">
        <w:t xml:space="preserve"> “K-12 Leverage and CCP Integration” shows the spectrum of CCP offerings. Enhancement of current CCP offerings is allowed, while “strong K12 partnerships and a clear plan to develop CCP-aligned AI coursework” is above expectations.</w:t>
      </w:r>
    </w:p>
    <w:p w14:paraId="4FE3F8EE" w14:textId="77777777" w:rsidR="00CB1A01" w:rsidRDefault="00CB1A01" w:rsidP="00377273">
      <w:pPr>
        <w:tabs>
          <w:tab w:val="left" w:pos="1080"/>
        </w:tabs>
        <w:ind w:left="720" w:hanging="450"/>
      </w:pPr>
    </w:p>
    <w:p w14:paraId="47890FF0" w14:textId="70353DE1" w:rsidR="00377273" w:rsidRDefault="00377273" w:rsidP="00377273">
      <w:r>
        <w:tab/>
      </w:r>
    </w:p>
    <w:p w14:paraId="5AD4E969" w14:textId="77777777" w:rsidR="00377273" w:rsidRDefault="00377273" w:rsidP="00377273"/>
    <w:sectPr w:rsidR="003772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81B"/>
    <w:multiLevelType w:val="hybridMultilevel"/>
    <w:tmpl w:val="6BCAC0F0"/>
    <w:lvl w:ilvl="0" w:tplc="77649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216AD7"/>
    <w:multiLevelType w:val="hybridMultilevel"/>
    <w:tmpl w:val="6A22FC1A"/>
    <w:lvl w:ilvl="0" w:tplc="0A5266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A065E3"/>
    <w:multiLevelType w:val="hybridMultilevel"/>
    <w:tmpl w:val="EB0CB0A8"/>
    <w:lvl w:ilvl="0" w:tplc="DA349C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C75972"/>
    <w:multiLevelType w:val="hybridMultilevel"/>
    <w:tmpl w:val="697C4236"/>
    <w:lvl w:ilvl="0" w:tplc="EBFA9A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FB6373"/>
    <w:multiLevelType w:val="hybridMultilevel"/>
    <w:tmpl w:val="081EB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575677"/>
    <w:multiLevelType w:val="hybridMultilevel"/>
    <w:tmpl w:val="22568D22"/>
    <w:lvl w:ilvl="0" w:tplc="A55094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1E7A73"/>
    <w:multiLevelType w:val="hybridMultilevel"/>
    <w:tmpl w:val="191492D6"/>
    <w:lvl w:ilvl="0" w:tplc="784C7B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172DD0"/>
    <w:multiLevelType w:val="hybridMultilevel"/>
    <w:tmpl w:val="F1D62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07229F"/>
    <w:multiLevelType w:val="hybridMultilevel"/>
    <w:tmpl w:val="50D6B948"/>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2D5AAC"/>
    <w:multiLevelType w:val="hybridMultilevel"/>
    <w:tmpl w:val="533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291BAC"/>
    <w:multiLevelType w:val="hybridMultilevel"/>
    <w:tmpl w:val="86B421EC"/>
    <w:lvl w:ilvl="0" w:tplc="577496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43079D"/>
    <w:multiLevelType w:val="hybridMultilevel"/>
    <w:tmpl w:val="DA8CEC8E"/>
    <w:lvl w:ilvl="0" w:tplc="D8F6ECF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D53B5"/>
    <w:multiLevelType w:val="multilevel"/>
    <w:tmpl w:val="7AA81CFC"/>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5841749E"/>
    <w:multiLevelType w:val="hybridMultilevel"/>
    <w:tmpl w:val="1854A32A"/>
    <w:lvl w:ilvl="0" w:tplc="5D1426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BB374E"/>
    <w:multiLevelType w:val="hybridMultilevel"/>
    <w:tmpl w:val="CD6E93F8"/>
    <w:lvl w:ilvl="0" w:tplc="267267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2020AA"/>
    <w:multiLevelType w:val="hybridMultilevel"/>
    <w:tmpl w:val="765AF566"/>
    <w:lvl w:ilvl="0" w:tplc="74DE03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DD66CF"/>
    <w:multiLevelType w:val="hybridMultilevel"/>
    <w:tmpl w:val="77A45AEC"/>
    <w:lvl w:ilvl="0" w:tplc="9AD44E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B612515"/>
    <w:multiLevelType w:val="hybridMultilevel"/>
    <w:tmpl w:val="87403086"/>
    <w:lvl w:ilvl="0" w:tplc="F72864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C278F5"/>
    <w:multiLevelType w:val="hybridMultilevel"/>
    <w:tmpl w:val="86CA6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755CDC"/>
    <w:multiLevelType w:val="hybridMultilevel"/>
    <w:tmpl w:val="2822EC84"/>
    <w:lvl w:ilvl="0" w:tplc="761219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894085"/>
    <w:multiLevelType w:val="hybridMultilevel"/>
    <w:tmpl w:val="A1AE0974"/>
    <w:lvl w:ilvl="0" w:tplc="BE3475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1540631">
    <w:abstractNumId w:val="9"/>
  </w:num>
  <w:num w:numId="2" w16cid:durableId="243026809">
    <w:abstractNumId w:val="8"/>
  </w:num>
  <w:num w:numId="3" w16cid:durableId="130490516">
    <w:abstractNumId w:val="1"/>
  </w:num>
  <w:num w:numId="4" w16cid:durableId="1003511019">
    <w:abstractNumId w:val="7"/>
  </w:num>
  <w:num w:numId="5" w16cid:durableId="1928422966">
    <w:abstractNumId w:val="4"/>
  </w:num>
  <w:num w:numId="6" w16cid:durableId="1451819626">
    <w:abstractNumId w:val="12"/>
  </w:num>
  <w:num w:numId="7" w16cid:durableId="393937788">
    <w:abstractNumId w:val="11"/>
  </w:num>
  <w:num w:numId="8" w16cid:durableId="446513596">
    <w:abstractNumId w:val="14"/>
  </w:num>
  <w:num w:numId="9" w16cid:durableId="2071338724">
    <w:abstractNumId w:val="15"/>
  </w:num>
  <w:num w:numId="10" w16cid:durableId="163975384">
    <w:abstractNumId w:val="5"/>
  </w:num>
  <w:num w:numId="11" w16cid:durableId="246772692">
    <w:abstractNumId w:val="20"/>
  </w:num>
  <w:num w:numId="12" w16cid:durableId="1908028037">
    <w:abstractNumId w:val="18"/>
  </w:num>
  <w:num w:numId="13" w16cid:durableId="1656110316">
    <w:abstractNumId w:val="2"/>
  </w:num>
  <w:num w:numId="14" w16cid:durableId="39669094">
    <w:abstractNumId w:val="3"/>
  </w:num>
  <w:num w:numId="15" w16cid:durableId="400829583">
    <w:abstractNumId w:val="13"/>
  </w:num>
  <w:num w:numId="16" w16cid:durableId="1986156941">
    <w:abstractNumId w:val="16"/>
  </w:num>
  <w:num w:numId="17" w16cid:durableId="1121147472">
    <w:abstractNumId w:val="17"/>
  </w:num>
  <w:num w:numId="18" w16cid:durableId="1914461097">
    <w:abstractNumId w:val="6"/>
  </w:num>
  <w:num w:numId="19" w16cid:durableId="333145266">
    <w:abstractNumId w:val="19"/>
  </w:num>
  <w:num w:numId="20" w16cid:durableId="1808620447">
    <w:abstractNumId w:val="0"/>
  </w:num>
  <w:num w:numId="21" w16cid:durableId="16652340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73"/>
    <w:rsid w:val="00004A51"/>
    <w:rsid w:val="0015403B"/>
    <w:rsid w:val="00377273"/>
    <w:rsid w:val="003970A6"/>
    <w:rsid w:val="003C3CCF"/>
    <w:rsid w:val="003F3D0E"/>
    <w:rsid w:val="004D1BA0"/>
    <w:rsid w:val="00677161"/>
    <w:rsid w:val="00CB1A01"/>
    <w:rsid w:val="00CC1AE5"/>
    <w:rsid w:val="00F35816"/>
    <w:rsid w:val="00F9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4AAAE"/>
  <w15:chartTrackingRefBased/>
  <w15:docId w15:val="{1BA4A586-273B-4743-A56E-7D526882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2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2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2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2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2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2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2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2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2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2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2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2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2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2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2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273"/>
    <w:rPr>
      <w:rFonts w:eastAsiaTheme="majorEastAsia" w:cstheme="majorBidi"/>
      <w:color w:val="272727" w:themeColor="text1" w:themeTint="D8"/>
    </w:rPr>
  </w:style>
  <w:style w:type="paragraph" w:styleId="Title">
    <w:name w:val="Title"/>
    <w:basedOn w:val="Normal"/>
    <w:next w:val="Normal"/>
    <w:link w:val="TitleChar"/>
    <w:uiPriority w:val="10"/>
    <w:qFormat/>
    <w:rsid w:val="00377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2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2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2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273"/>
    <w:pPr>
      <w:spacing w:before="160"/>
      <w:jc w:val="center"/>
    </w:pPr>
    <w:rPr>
      <w:i/>
      <w:iCs/>
      <w:color w:val="404040" w:themeColor="text1" w:themeTint="BF"/>
    </w:rPr>
  </w:style>
  <w:style w:type="character" w:customStyle="1" w:styleId="QuoteChar">
    <w:name w:val="Quote Char"/>
    <w:basedOn w:val="DefaultParagraphFont"/>
    <w:link w:val="Quote"/>
    <w:uiPriority w:val="29"/>
    <w:rsid w:val="00377273"/>
    <w:rPr>
      <w:i/>
      <w:iCs/>
      <w:color w:val="404040" w:themeColor="text1" w:themeTint="BF"/>
    </w:rPr>
  </w:style>
  <w:style w:type="paragraph" w:styleId="ListParagraph">
    <w:name w:val="List Paragraph"/>
    <w:basedOn w:val="Normal"/>
    <w:uiPriority w:val="34"/>
    <w:qFormat/>
    <w:rsid w:val="00377273"/>
    <w:pPr>
      <w:ind w:left="720"/>
      <w:contextualSpacing/>
    </w:pPr>
  </w:style>
  <w:style w:type="character" w:styleId="IntenseEmphasis">
    <w:name w:val="Intense Emphasis"/>
    <w:basedOn w:val="DefaultParagraphFont"/>
    <w:uiPriority w:val="21"/>
    <w:qFormat/>
    <w:rsid w:val="00377273"/>
    <w:rPr>
      <w:i/>
      <w:iCs/>
      <w:color w:val="0F4761" w:themeColor="accent1" w:themeShade="BF"/>
    </w:rPr>
  </w:style>
  <w:style w:type="paragraph" w:styleId="IntenseQuote">
    <w:name w:val="Intense Quote"/>
    <w:basedOn w:val="Normal"/>
    <w:next w:val="Normal"/>
    <w:link w:val="IntenseQuoteChar"/>
    <w:uiPriority w:val="30"/>
    <w:qFormat/>
    <w:rsid w:val="00377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273"/>
    <w:rPr>
      <w:i/>
      <w:iCs/>
      <w:color w:val="0F4761" w:themeColor="accent1" w:themeShade="BF"/>
    </w:rPr>
  </w:style>
  <w:style w:type="character" w:styleId="IntenseReference">
    <w:name w:val="Intense Reference"/>
    <w:basedOn w:val="DefaultParagraphFont"/>
    <w:uiPriority w:val="32"/>
    <w:qFormat/>
    <w:rsid w:val="003772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796</Words>
  <Characters>4542</Characters>
  <Application>Microsoft Office Word</Application>
  <DocSecurity>0</DocSecurity>
  <Lines>37</Lines>
  <Paragraphs>10</Paragraphs>
  <ScaleCrop>false</ScaleCrop>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Lauri</dc:creator>
  <cp:keywords/>
  <dc:description/>
  <cp:lastModifiedBy>White, Lauri</cp:lastModifiedBy>
  <cp:revision>3</cp:revision>
  <dcterms:created xsi:type="dcterms:W3CDTF">2025-10-22T10:35:00Z</dcterms:created>
  <dcterms:modified xsi:type="dcterms:W3CDTF">2025-10-27T14:26:00Z</dcterms:modified>
</cp:coreProperties>
</file>