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39A8F" w14:textId="1ECBCF04" w:rsidR="008C0614" w:rsidRDefault="00873D8C" w:rsidP="004C1707">
      <w:pPr>
        <w:pStyle w:val="Heading1"/>
      </w:pPr>
      <w:r>
        <w:t xml:space="preserve">HB96 </w:t>
      </w:r>
      <w:r w:rsidR="009C0B6F">
        <w:t xml:space="preserve">WBL Guidance </w:t>
      </w:r>
      <w:r>
        <w:t>Responses to Feedback &amp;</w:t>
      </w:r>
      <w:r w:rsidR="00D06AE2">
        <w:t xml:space="preserve"> Questions</w:t>
      </w:r>
    </w:p>
    <w:p w14:paraId="24C7AFD2" w14:textId="6E207208" w:rsidR="009C0B6F" w:rsidRDefault="009C0B6F" w:rsidP="009C0B6F">
      <w:pPr>
        <w:pStyle w:val="Heading2"/>
      </w:pPr>
      <w:r>
        <w:t>JobsOhio Participation</w:t>
      </w:r>
    </w:p>
    <w:p w14:paraId="0047F213" w14:textId="77777777" w:rsidR="004C1707" w:rsidRPr="004C1707" w:rsidRDefault="00551970" w:rsidP="00551970">
      <w:pPr>
        <w:pStyle w:val="ListParagraph"/>
        <w:numPr>
          <w:ilvl w:val="0"/>
          <w:numId w:val="2"/>
        </w:numPr>
        <w:rPr>
          <w:color w:val="156082" w:themeColor="accent1"/>
        </w:rPr>
      </w:pPr>
      <w:r w:rsidRPr="004C1707">
        <w:rPr>
          <w:color w:val="156082" w:themeColor="accent1"/>
        </w:rPr>
        <w:t xml:space="preserve">What does the State consider to be on a regular basis for working with JO? </w:t>
      </w:r>
    </w:p>
    <w:p w14:paraId="6ED86D95" w14:textId="0BD18780" w:rsidR="00551970" w:rsidRPr="00CC681D" w:rsidRDefault="00551970" w:rsidP="004C1707">
      <w:pPr>
        <w:pStyle w:val="ListParagraph"/>
        <w:numPr>
          <w:ilvl w:val="1"/>
          <w:numId w:val="2"/>
        </w:numPr>
      </w:pPr>
      <w:r w:rsidRPr="004C1707">
        <w:t>At least once a year.</w:t>
      </w:r>
    </w:p>
    <w:p w14:paraId="237C4FBB" w14:textId="77777777" w:rsidR="004C1707" w:rsidRPr="0078045A" w:rsidRDefault="001A5EC1" w:rsidP="00551970">
      <w:pPr>
        <w:pStyle w:val="ListParagraph"/>
        <w:numPr>
          <w:ilvl w:val="0"/>
          <w:numId w:val="2"/>
        </w:numPr>
        <w:rPr>
          <w:color w:val="156082" w:themeColor="accent1"/>
        </w:rPr>
      </w:pPr>
      <w:r w:rsidRPr="004C1707">
        <w:rPr>
          <w:color w:val="156082" w:themeColor="accent1"/>
        </w:rPr>
        <w:t xml:space="preserve">Will there be any kind of JobsOhio/state-level incentive </w:t>
      </w:r>
      <w:r w:rsidR="00A90A76" w:rsidRPr="004C1707">
        <w:rPr>
          <w:color w:val="156082" w:themeColor="accent1"/>
        </w:rPr>
        <w:t>like</w:t>
      </w:r>
      <w:r w:rsidRPr="004C1707">
        <w:rPr>
          <w:color w:val="156082" w:themeColor="accent1"/>
        </w:rPr>
        <w:t xml:space="preserve"> the $300 million announcement for technician earn-and-learn to drive supply of WBL experiences for </w:t>
      </w:r>
      <w:r w:rsidRPr="0078045A">
        <w:rPr>
          <w:color w:val="156082" w:themeColor="accent1"/>
        </w:rPr>
        <w:t xml:space="preserve">students? </w:t>
      </w:r>
    </w:p>
    <w:p w14:paraId="3A91F766" w14:textId="1E0E3EAD" w:rsidR="00CC681D" w:rsidRPr="0046350C" w:rsidRDefault="001A5EC1" w:rsidP="004C1707">
      <w:pPr>
        <w:pStyle w:val="ListParagraph"/>
        <w:numPr>
          <w:ilvl w:val="1"/>
          <w:numId w:val="2"/>
        </w:numPr>
      </w:pPr>
      <w:r w:rsidRPr="0046350C">
        <w:t xml:space="preserve">No, JobsOhio has not offered an incentive for institutions. Their involvement for </w:t>
      </w:r>
      <w:r w:rsidR="00984948" w:rsidRPr="0046350C">
        <w:t xml:space="preserve">the ODHE </w:t>
      </w:r>
      <w:r w:rsidR="00FD4B1D" w:rsidRPr="0046350C">
        <w:t xml:space="preserve">HB96 </w:t>
      </w:r>
      <w:r w:rsidRPr="0046350C">
        <w:t xml:space="preserve">WBL Program Implementation currently includes a commitment to acting as a convener for employer gatherings and information dissemination. </w:t>
      </w:r>
      <w:r w:rsidR="00E92E13">
        <w:t>They</w:t>
      </w:r>
      <w:r w:rsidRPr="0046350C">
        <w:t xml:space="preserve"> are exploring opportunities for a portion of </w:t>
      </w:r>
      <w:r w:rsidR="00E92E13">
        <w:t xml:space="preserve">the previously announced </w:t>
      </w:r>
      <w:r w:rsidRPr="0046350C">
        <w:t xml:space="preserve">funding </w:t>
      </w:r>
      <w:r w:rsidR="00E92E13">
        <w:t>to go toward</w:t>
      </w:r>
      <w:r w:rsidR="00E92E13" w:rsidRPr="0046350C">
        <w:t xml:space="preserve"> </w:t>
      </w:r>
      <w:r w:rsidRPr="0046350C">
        <w:t>support services that pertain to their Technician Earn-and-Learn program, which could include career services and workforce development offices.</w:t>
      </w:r>
    </w:p>
    <w:p w14:paraId="1C867910" w14:textId="77777777" w:rsidR="004C1707" w:rsidRPr="004C1707" w:rsidRDefault="002B651F" w:rsidP="002B651F">
      <w:pPr>
        <w:pStyle w:val="ListParagraph"/>
        <w:numPr>
          <w:ilvl w:val="0"/>
          <w:numId w:val="2"/>
        </w:numPr>
        <w:rPr>
          <w:color w:val="156082" w:themeColor="accent1"/>
        </w:rPr>
      </w:pPr>
      <w:r w:rsidRPr="004C1707">
        <w:rPr>
          <w:color w:val="156082" w:themeColor="accent1"/>
        </w:rPr>
        <w:t xml:space="preserve">Since we must work with JobsOhio to develop our program, do we work specifically with the JobsOhio Network talent teams?  </w:t>
      </w:r>
    </w:p>
    <w:p w14:paraId="4C99FEDA" w14:textId="30332C38" w:rsidR="009C0B6F" w:rsidRDefault="002B651F" w:rsidP="009C0B6F">
      <w:pPr>
        <w:pStyle w:val="ListParagraph"/>
        <w:numPr>
          <w:ilvl w:val="1"/>
          <w:numId w:val="2"/>
        </w:numPr>
      </w:pPr>
      <w:r w:rsidRPr="004C1707">
        <w:t>We will provide contacts and guidance from J</w:t>
      </w:r>
      <w:r w:rsidR="00267D0F">
        <w:t>obsOhio</w:t>
      </w:r>
      <w:r w:rsidRPr="004C1707">
        <w:t xml:space="preserve"> in the coming weeks. </w:t>
      </w:r>
    </w:p>
    <w:p w14:paraId="65568E32" w14:textId="320A9620" w:rsidR="009C0B6F" w:rsidRDefault="004D11EA" w:rsidP="009C0B6F">
      <w:pPr>
        <w:pStyle w:val="Heading2"/>
      </w:pPr>
      <w:r>
        <w:t>Components of Eligible WBL</w:t>
      </w:r>
    </w:p>
    <w:p w14:paraId="5F8AFEE4" w14:textId="77777777" w:rsidR="004C1707" w:rsidRPr="004C1707" w:rsidRDefault="00DA08EE" w:rsidP="00B33982">
      <w:pPr>
        <w:pStyle w:val="ListParagraph"/>
        <w:numPr>
          <w:ilvl w:val="0"/>
          <w:numId w:val="3"/>
        </w:numPr>
      </w:pPr>
      <w:r w:rsidRPr="004C1707">
        <w:rPr>
          <w:color w:val="156082" w:themeColor="accent1"/>
        </w:rPr>
        <w:t xml:space="preserve">What is one (1) semester with regards to summer WBL? </w:t>
      </w:r>
    </w:p>
    <w:p w14:paraId="1EAE1302" w14:textId="0E048C67" w:rsidR="00220A78" w:rsidRDefault="00DA08EE" w:rsidP="004C1707">
      <w:pPr>
        <w:pStyle w:val="ListParagraph"/>
        <w:numPr>
          <w:ilvl w:val="1"/>
          <w:numId w:val="3"/>
        </w:numPr>
      </w:pPr>
      <w:r w:rsidRPr="004C1707">
        <w:t xml:space="preserve">ODHE counts summer term as a </w:t>
      </w:r>
      <w:r w:rsidR="00D170A1" w:rsidRPr="004C1707">
        <w:t>“semester” (Summer/Spring/Fall)</w:t>
      </w:r>
      <w:r w:rsidRPr="004C1707">
        <w:t xml:space="preserve"> and has updated the language to </w:t>
      </w:r>
      <w:r w:rsidR="0039264B" w:rsidRPr="004C1707">
        <w:t>say,</w:t>
      </w:r>
      <w:r w:rsidRPr="004C1707">
        <w:t xml:space="preserve"> “at least 40 hours within one (1) semester</w:t>
      </w:r>
      <w:r w:rsidR="00D170A1" w:rsidRPr="004C1707">
        <w:t xml:space="preserve"> or 15 </w:t>
      </w:r>
      <w:r w:rsidRPr="004C1707">
        <w:t xml:space="preserve">consecutive </w:t>
      </w:r>
      <w:r w:rsidR="00D170A1" w:rsidRPr="004C1707">
        <w:t>weeks</w:t>
      </w:r>
      <w:r w:rsidRPr="004C1707">
        <w:t>”.</w:t>
      </w:r>
      <w:r>
        <w:t xml:space="preserve"> </w:t>
      </w:r>
    </w:p>
    <w:p w14:paraId="4D15C1DD" w14:textId="77777777" w:rsidR="00220A78" w:rsidRDefault="00DA08EE" w:rsidP="00B33982">
      <w:pPr>
        <w:pStyle w:val="ListParagraph"/>
        <w:numPr>
          <w:ilvl w:val="1"/>
          <w:numId w:val="3"/>
        </w:numPr>
      </w:pPr>
      <w:r>
        <w:t>This does not mean the experience has to last a whole semester or be 15 weeks long, but that the minimum time accrued with an employer should be achieved du</w:t>
      </w:r>
      <w:r w:rsidR="00220A78">
        <w:t>ring one semester or one period of 15 consecutive weeks.</w:t>
      </w:r>
    </w:p>
    <w:p w14:paraId="7C935AC4" w14:textId="384CDBF0" w:rsidR="004C1707" w:rsidRPr="004C1707" w:rsidRDefault="00EC0C58" w:rsidP="00220A78">
      <w:pPr>
        <w:pStyle w:val="ListParagraph"/>
        <w:numPr>
          <w:ilvl w:val="0"/>
          <w:numId w:val="3"/>
        </w:numPr>
        <w:rPr>
          <w:b/>
          <w:bCs/>
          <w:color w:val="156082" w:themeColor="accent1"/>
        </w:rPr>
      </w:pPr>
      <w:r w:rsidRPr="004C1707">
        <w:rPr>
          <w:color w:val="156082" w:themeColor="accent1"/>
        </w:rPr>
        <w:t>How closely does a</w:t>
      </w:r>
      <w:r w:rsidR="0082513C" w:rsidRPr="004C1707">
        <w:rPr>
          <w:color w:val="156082" w:themeColor="accent1"/>
        </w:rPr>
        <w:t xml:space="preserve">n experience need to be related </w:t>
      </w:r>
      <w:r w:rsidR="00E92E13">
        <w:rPr>
          <w:color w:val="156082" w:themeColor="accent1"/>
        </w:rPr>
        <w:t xml:space="preserve">to a student’s program of study </w:t>
      </w:r>
      <w:r w:rsidR="0082513C" w:rsidRPr="004C1707">
        <w:rPr>
          <w:color w:val="156082" w:themeColor="accent1"/>
        </w:rPr>
        <w:t>to count</w:t>
      </w:r>
      <w:r w:rsidR="00E92E13">
        <w:rPr>
          <w:color w:val="156082" w:themeColor="accent1"/>
        </w:rPr>
        <w:t xml:space="preserve"> toward this requirement</w:t>
      </w:r>
      <w:r w:rsidR="0082513C" w:rsidRPr="004C1707">
        <w:rPr>
          <w:color w:val="156082" w:themeColor="accent1"/>
        </w:rPr>
        <w:t xml:space="preserve">? </w:t>
      </w:r>
    </w:p>
    <w:p w14:paraId="6AA40D66" w14:textId="36342235" w:rsidR="00EC0C58" w:rsidRPr="004C1707" w:rsidRDefault="0082513C" w:rsidP="004C1707">
      <w:pPr>
        <w:pStyle w:val="ListParagraph"/>
        <w:numPr>
          <w:ilvl w:val="1"/>
          <w:numId w:val="3"/>
        </w:numPr>
      </w:pPr>
      <w:r w:rsidRPr="004C1707">
        <w:t>If a student and their advisor</w:t>
      </w:r>
      <w:r w:rsidR="00667678">
        <w:t>(</w:t>
      </w:r>
      <w:r w:rsidRPr="004C1707">
        <w:t>s</w:t>
      </w:r>
      <w:r w:rsidR="00667678">
        <w:t>)</w:t>
      </w:r>
      <w:r w:rsidRPr="004C1707">
        <w:t xml:space="preserve"> can attest to the value in the student’s ability to gain professional skills for a</w:t>
      </w:r>
      <w:r w:rsidR="006C05D6">
        <w:t xml:space="preserve"> potential</w:t>
      </w:r>
      <w:r w:rsidR="001029FF">
        <w:t xml:space="preserve"> </w:t>
      </w:r>
      <w:r w:rsidRPr="004C1707">
        <w:t xml:space="preserve">career </w:t>
      </w:r>
      <w:r w:rsidR="00EB7FEB">
        <w:t>and</w:t>
      </w:r>
      <w:r w:rsidRPr="004C1707">
        <w:t xml:space="preserve"> make a </w:t>
      </w:r>
      <w:r w:rsidR="00676B5D" w:rsidRPr="004C1707">
        <w:t xml:space="preserve">more informed decision around whether or how they’d pursue that career, then </w:t>
      </w:r>
      <w:r w:rsidR="009863E2">
        <w:t>the institution can</w:t>
      </w:r>
      <w:r w:rsidR="00676B5D">
        <w:t xml:space="preserve"> </w:t>
      </w:r>
      <w:r w:rsidR="00220A78">
        <w:t>a</w:t>
      </w:r>
      <w:r w:rsidR="00220A78" w:rsidRPr="004C1707">
        <w:t>ccept</w:t>
      </w:r>
      <w:r w:rsidR="00676B5D" w:rsidRPr="004C1707">
        <w:t xml:space="preserve"> that attestation</w:t>
      </w:r>
      <w:r w:rsidR="00220A78" w:rsidRPr="004C1707">
        <w:t xml:space="preserve"> with the </w:t>
      </w:r>
      <w:r w:rsidR="00792345" w:rsidRPr="004C1707">
        <w:t xml:space="preserve">signatures submitted </w:t>
      </w:r>
      <w:r w:rsidR="009863E2">
        <w:t>by student and advisor</w:t>
      </w:r>
      <w:r w:rsidR="00676B5D" w:rsidRPr="004C1707">
        <w:t>.</w:t>
      </w:r>
    </w:p>
    <w:p w14:paraId="542E40C1" w14:textId="77777777" w:rsidR="004C1707" w:rsidRPr="004C1707" w:rsidRDefault="007526C5" w:rsidP="00220A78">
      <w:pPr>
        <w:pStyle w:val="ListParagraph"/>
        <w:numPr>
          <w:ilvl w:val="0"/>
          <w:numId w:val="3"/>
        </w:numPr>
        <w:rPr>
          <w:b/>
          <w:bCs/>
          <w:color w:val="156082" w:themeColor="accent1"/>
        </w:rPr>
      </w:pPr>
      <w:r w:rsidRPr="004C1707">
        <w:rPr>
          <w:color w:val="156082" w:themeColor="accent1"/>
        </w:rPr>
        <w:t>What</w:t>
      </w:r>
      <w:r w:rsidR="002D0E6B" w:rsidRPr="004C1707">
        <w:rPr>
          <w:color w:val="156082" w:themeColor="accent1"/>
        </w:rPr>
        <w:t xml:space="preserve"> could constitute a student’s intended career path? </w:t>
      </w:r>
    </w:p>
    <w:p w14:paraId="40CAE3D2" w14:textId="0137C932" w:rsidR="007526C5" w:rsidRPr="004C1707" w:rsidRDefault="002D0E6B" w:rsidP="004C1707">
      <w:pPr>
        <w:pStyle w:val="ListParagraph"/>
        <w:numPr>
          <w:ilvl w:val="1"/>
          <w:numId w:val="3"/>
        </w:numPr>
      </w:pPr>
      <w:r w:rsidRPr="004C1707">
        <w:t xml:space="preserve">ODHE recognizes that students can, and are encouraged to, use </w:t>
      </w:r>
      <w:r w:rsidR="00AA4B95" w:rsidRPr="004C1707">
        <w:t xml:space="preserve">WBL experiences as opportunities to gain professional skills while exploring career options. </w:t>
      </w:r>
      <w:r w:rsidR="00AA4B95" w:rsidRPr="004C1707">
        <w:lastRenderedPageBreak/>
        <w:t>Students may no longer want to pursue the career aligned to the WBL experience they completed</w:t>
      </w:r>
      <w:r w:rsidR="00B81111" w:rsidRPr="004C1707">
        <w:t>; if a</w:t>
      </w:r>
      <w:r w:rsidR="007F3B23" w:rsidRPr="004C1707">
        <w:t xml:space="preserve"> faculty member/</w:t>
      </w:r>
      <w:r w:rsidR="00B81111" w:rsidRPr="004C1707">
        <w:t xml:space="preserve">advisor can attest that there is a relevance to the student’s </w:t>
      </w:r>
      <w:r w:rsidR="007F3B23" w:rsidRPr="004C1707">
        <w:t xml:space="preserve">field(s) of interest, that suffices to meet the requirement. </w:t>
      </w:r>
    </w:p>
    <w:p w14:paraId="59858709" w14:textId="38AD8E54" w:rsidR="004C1707" w:rsidRPr="004C1707" w:rsidRDefault="009069CA" w:rsidP="009069CA">
      <w:pPr>
        <w:pStyle w:val="ListParagraph"/>
        <w:numPr>
          <w:ilvl w:val="0"/>
          <w:numId w:val="3"/>
        </w:numPr>
      </w:pPr>
      <w:r w:rsidRPr="004C1707">
        <w:rPr>
          <w:color w:val="156082" w:themeColor="accent1"/>
        </w:rPr>
        <w:t xml:space="preserve">Does the State recommend using NACE competencies as a guide for students to respond to </w:t>
      </w:r>
      <w:r w:rsidR="0034783B">
        <w:rPr>
          <w:color w:val="156082" w:themeColor="accent1"/>
        </w:rPr>
        <w:t>Component</w:t>
      </w:r>
      <w:r w:rsidRPr="004C1707">
        <w:rPr>
          <w:color w:val="156082" w:themeColor="accent1"/>
        </w:rPr>
        <w:t xml:space="preserve"> #4, Professional Skill </w:t>
      </w:r>
      <w:r w:rsidR="002F6158" w:rsidRPr="004C1707">
        <w:rPr>
          <w:color w:val="156082" w:themeColor="accent1"/>
        </w:rPr>
        <w:t>Development</w:t>
      </w:r>
      <w:r w:rsidRPr="004C1707">
        <w:rPr>
          <w:color w:val="156082" w:themeColor="accent1"/>
        </w:rPr>
        <w:t xml:space="preserve">? </w:t>
      </w:r>
    </w:p>
    <w:p w14:paraId="7258C284" w14:textId="09111822" w:rsidR="009069CA" w:rsidRPr="00813C5E" w:rsidRDefault="009069CA" w:rsidP="00813C5E">
      <w:pPr>
        <w:pStyle w:val="ListParagraph"/>
        <w:numPr>
          <w:ilvl w:val="1"/>
          <w:numId w:val="3"/>
        </w:numPr>
      </w:pPr>
      <w:r w:rsidRPr="004C1707">
        <w:t xml:space="preserve">ODHE encourages institutions to use resources such as NACE to </w:t>
      </w:r>
      <w:r w:rsidR="006808F4">
        <w:t>help</w:t>
      </w:r>
      <w:r w:rsidR="00013AAE" w:rsidRPr="004C1707">
        <w:t xml:space="preserve"> students to articulate the skills and knowledge developed during a WBL experience.</w:t>
      </w:r>
    </w:p>
    <w:p w14:paraId="1330481F" w14:textId="73E3A892" w:rsidR="004D11EA" w:rsidRDefault="00922859" w:rsidP="00F154D0">
      <w:pPr>
        <w:pStyle w:val="Heading4"/>
        <w:ind w:left="720"/>
      </w:pPr>
      <w:r>
        <w:t>Student Product or Outcome</w:t>
      </w:r>
    </w:p>
    <w:p w14:paraId="3A012110" w14:textId="6BA34E82" w:rsidR="00282A63" w:rsidRPr="00282A63" w:rsidRDefault="00282A63" w:rsidP="00F154D0">
      <w:pPr>
        <w:ind w:left="720"/>
      </w:pPr>
      <w:r>
        <w:t xml:space="preserve">Thank you </w:t>
      </w:r>
      <w:r w:rsidR="00B162F7">
        <w:t>to the institutions that have</w:t>
      </w:r>
      <w:r>
        <w:t xml:space="preserve"> shar</w:t>
      </w:r>
      <w:r w:rsidR="00B162F7">
        <w:t>ed</w:t>
      </w:r>
      <w:r>
        <w:t xml:space="preserve"> various examples of meaningful products or outcomes. </w:t>
      </w:r>
      <w:r w:rsidR="00B162F7">
        <w:t>ODHE’s</w:t>
      </w:r>
      <w:r>
        <w:t xml:space="preserve"> intent </w:t>
      </w:r>
      <w:r w:rsidR="00B162F7">
        <w:t>in</w:t>
      </w:r>
      <w:r>
        <w:t xml:space="preserve"> </w:t>
      </w:r>
      <w:r w:rsidR="00DE465E">
        <w:t xml:space="preserve">specifying eligible products or outcomes is to </w:t>
      </w:r>
      <w:r w:rsidR="00DE465E" w:rsidRPr="00DE465E">
        <w:t>verify that the work-based learning experience provided the student with a tangible outcome that they can use</w:t>
      </w:r>
      <w:r w:rsidR="008C6A40">
        <w:t xml:space="preserve"> </w:t>
      </w:r>
      <w:r w:rsidR="00DE465E" w:rsidRPr="00DE465E">
        <w:t>in seeking further career or educational opportunities</w:t>
      </w:r>
      <w:r w:rsidR="003F539F">
        <w:t>,</w:t>
      </w:r>
      <w:r w:rsidR="00DE465E" w:rsidRPr="00DE465E">
        <w:t xml:space="preserve"> that contribute to a student’s professional portfolio</w:t>
      </w:r>
      <w:r w:rsidR="003F539F">
        <w:t>, demonstrating</w:t>
      </w:r>
      <w:r w:rsidR="00822FFA">
        <w:t xml:space="preserve"> long-term value of the WBL experience.</w:t>
      </w:r>
      <w:r w:rsidR="009A2906">
        <w:t xml:space="preserve"> The guidance now includes the full list of accepted products or outcomes for </w:t>
      </w:r>
      <w:r w:rsidR="0032329B">
        <w:t>eligible WBL.</w:t>
      </w:r>
    </w:p>
    <w:p w14:paraId="745124E7" w14:textId="2EB6890B" w:rsidR="004D11EA" w:rsidRDefault="004062B7" w:rsidP="009338D6">
      <w:pPr>
        <w:pStyle w:val="Heading3"/>
      </w:pPr>
      <w:r>
        <w:t>Targeted Student Population</w:t>
      </w:r>
    </w:p>
    <w:p w14:paraId="6451D277" w14:textId="7307AF09" w:rsidR="001F4D3F" w:rsidRDefault="00B162F7" w:rsidP="001F4D3F">
      <w:r>
        <w:t>ODHE</w:t>
      </w:r>
      <w:r w:rsidR="001F4D3F">
        <w:t xml:space="preserve"> received many questions around “requirements” for student programs or pathways. Please remember that the legislation and guidance do not require students to complete WBL. The</w:t>
      </w:r>
      <w:r w:rsidR="00567D4C">
        <w:t xml:space="preserve"> requirement is for all public institutions of higher education to implement robust programs that facilitate WBL opportunities</w:t>
      </w:r>
      <w:r w:rsidR="00094858">
        <w:t xml:space="preserve"> and implement systems to accurately track and report WBL completions for undergraduate students.</w:t>
      </w:r>
    </w:p>
    <w:p w14:paraId="00578647" w14:textId="2913A23F" w:rsidR="00E67EC3" w:rsidRDefault="00E67EC3" w:rsidP="00E67EC3">
      <w:pPr>
        <w:pStyle w:val="ListParagraph"/>
        <w:numPr>
          <w:ilvl w:val="0"/>
          <w:numId w:val="11"/>
        </w:numPr>
      </w:pPr>
      <w:r>
        <w:t>Transfer</w:t>
      </w:r>
      <w:r w:rsidR="009930F4">
        <w:t xml:space="preserve">, </w:t>
      </w:r>
      <w:r>
        <w:t>CCP</w:t>
      </w:r>
      <w:r w:rsidR="009930F4">
        <w:t>, and international</w:t>
      </w:r>
      <w:r>
        <w:t xml:space="preserve"> students can submit WBL</w:t>
      </w:r>
      <w:r w:rsidR="00901ABC">
        <w:t xml:space="preserve"> that can be reported to ODHE</w:t>
      </w:r>
      <w:r>
        <w:t xml:space="preserve"> if enrolled</w:t>
      </w:r>
      <w:r w:rsidR="007F71F9">
        <w:t xml:space="preserve"> in undergraduate or associate degree programs</w:t>
      </w:r>
      <w:r>
        <w:t>.</w:t>
      </w:r>
      <w:r w:rsidR="007F71F9">
        <w:t xml:space="preserve"> </w:t>
      </w:r>
    </w:p>
    <w:p w14:paraId="431F9C66" w14:textId="525291A4" w:rsidR="00E67EC3" w:rsidRDefault="00E67EC3" w:rsidP="00E67EC3">
      <w:pPr>
        <w:pStyle w:val="ListParagraph"/>
        <w:numPr>
          <w:ilvl w:val="0"/>
          <w:numId w:val="11"/>
        </w:numPr>
      </w:pPr>
      <w:r>
        <w:t>First-time, full-time status is not a requirement but a suggestion to focus outreach</w:t>
      </w:r>
      <w:r w:rsidR="00524154">
        <w:t xml:space="preserve"> within th</w:t>
      </w:r>
      <w:r w:rsidR="000B43F5">
        <w:t xml:space="preserve">e </w:t>
      </w:r>
      <w:r w:rsidR="004E26AA">
        <w:t>full und</w:t>
      </w:r>
      <w:r w:rsidR="0022136C">
        <w:t>ergrad</w:t>
      </w:r>
      <w:r w:rsidR="006671E2">
        <w:t>uate p</w:t>
      </w:r>
      <w:r w:rsidR="003C1CE2">
        <w:t>opulation</w:t>
      </w:r>
      <w:r w:rsidR="005131C6">
        <w:t>, given the unique constraints faced by n</w:t>
      </w:r>
      <w:r>
        <w:t>on-traditional students.</w:t>
      </w:r>
    </w:p>
    <w:p w14:paraId="66A5F5FD" w14:textId="461AB61F" w:rsidR="00E67EC3" w:rsidRPr="001F4D3F" w:rsidRDefault="00E67EC3" w:rsidP="00E67EC3">
      <w:pPr>
        <w:pStyle w:val="ListParagraph"/>
        <w:numPr>
          <w:ilvl w:val="0"/>
          <w:numId w:val="11"/>
        </w:numPr>
      </w:pPr>
      <w:r>
        <w:t>Ohio residency is not required</w:t>
      </w:r>
      <w:r w:rsidR="00D63378">
        <w:t xml:space="preserve"> for the </w:t>
      </w:r>
      <w:r w:rsidR="005131C6">
        <w:t>students reporting eligible WBL.</w:t>
      </w:r>
      <w:r w:rsidR="00D63378">
        <w:t xml:space="preserve"> </w:t>
      </w:r>
    </w:p>
    <w:p w14:paraId="459491CF" w14:textId="1037DFDE" w:rsidR="00253309" w:rsidRDefault="00253309" w:rsidP="00253309">
      <w:pPr>
        <w:pStyle w:val="Heading2"/>
      </w:pPr>
      <w:r>
        <w:t>Program Implementation Plan</w:t>
      </w:r>
    </w:p>
    <w:p w14:paraId="2D4BE750" w14:textId="1B685681" w:rsidR="00253309" w:rsidRDefault="005A70D7" w:rsidP="00253309">
      <w:r>
        <w:t xml:space="preserve">Plans will be submitted and updated annually. ODHE will review each institution’s progress by the goals the institution sets for themselves each year, and over time. </w:t>
      </w:r>
      <w:r w:rsidR="005B6005">
        <w:t>ODHE’s long-term, statewide goal is that all institutions eventually reach 75% of the undergraduate population of the state having completed at least one (1) WBL experience by graduation.</w:t>
      </w:r>
    </w:p>
    <w:p w14:paraId="11E3BD38" w14:textId="5B9885C3" w:rsidR="00253309" w:rsidRDefault="00253309" w:rsidP="00253309">
      <w:pPr>
        <w:pStyle w:val="Heading3"/>
      </w:pPr>
      <w:r>
        <w:lastRenderedPageBreak/>
        <w:t xml:space="preserve">Strategic Overview </w:t>
      </w:r>
    </w:p>
    <w:p w14:paraId="77DEDDF3" w14:textId="61785460" w:rsidR="00253309" w:rsidRDefault="005A70D7" w:rsidP="00844C56">
      <w:r>
        <w:t xml:space="preserve">Plans MUST address </w:t>
      </w:r>
      <w:r w:rsidR="00511B8D">
        <w:t xml:space="preserve">how career services, academic offices, </w:t>
      </w:r>
      <w:r w:rsidR="00A962A2">
        <w:t xml:space="preserve">registrars, and institutional research offices will collaborate to develop </w:t>
      </w:r>
      <w:r w:rsidR="001F7907">
        <w:t>a scalable, long-term approach to tracking, collecting, and retaining records for WBL.</w:t>
      </w:r>
    </w:p>
    <w:p w14:paraId="5AAD65AD" w14:textId="77777777" w:rsidR="00F40E48" w:rsidRPr="00F40E48" w:rsidRDefault="00643E10" w:rsidP="00643E10">
      <w:pPr>
        <w:pStyle w:val="ListParagraph"/>
        <w:numPr>
          <w:ilvl w:val="0"/>
          <w:numId w:val="15"/>
        </w:numPr>
      </w:pPr>
      <w:r w:rsidRPr="00F40E48">
        <w:rPr>
          <w:color w:val="156082" w:themeColor="accent1"/>
        </w:rPr>
        <w:t xml:space="preserve">What does it mean to facilitate or increase “opportunities to participate” and how will that be measured? </w:t>
      </w:r>
    </w:p>
    <w:p w14:paraId="0C5825DF" w14:textId="38F0C42E" w:rsidR="00C1115E" w:rsidRPr="00436174" w:rsidRDefault="00643E10" w:rsidP="002978AF">
      <w:pPr>
        <w:pStyle w:val="ListParagraph"/>
        <w:numPr>
          <w:ilvl w:val="1"/>
          <w:numId w:val="15"/>
        </w:numPr>
      </w:pPr>
      <w:r w:rsidRPr="00F40E48">
        <w:t xml:space="preserve">ODHE will assess </w:t>
      </w:r>
      <w:r w:rsidR="00A90A76" w:rsidRPr="00F40E48">
        <w:t>institutions’</w:t>
      </w:r>
      <w:r w:rsidRPr="00F40E48">
        <w:t xml:space="preserve"> structures and services available to </w:t>
      </w:r>
      <w:r w:rsidR="00B162F7">
        <w:t xml:space="preserve">support </w:t>
      </w:r>
      <w:r w:rsidRPr="00F40E48">
        <w:t>students</w:t>
      </w:r>
      <w:r w:rsidR="00247285" w:rsidRPr="00F40E48">
        <w:t xml:space="preserve"> </w:t>
      </w:r>
      <w:r w:rsidR="00B162F7">
        <w:t>in securing</w:t>
      </w:r>
      <w:r w:rsidR="00247285" w:rsidRPr="00F40E48">
        <w:t xml:space="preserve"> a WBL experience. Over time, the data submissions of students engaging in WBL will also be used to assess </w:t>
      </w:r>
      <w:r w:rsidR="0087448B" w:rsidRPr="00F40E48">
        <w:t xml:space="preserve">the availability of opportunities. ODHE expects institutions to build substantive supports that engage students in </w:t>
      </w:r>
      <w:r w:rsidR="003E1AEF" w:rsidRPr="00F40E48">
        <w:t>exploring career</w:t>
      </w:r>
      <w:r w:rsidR="00BB35A2" w:rsidRPr="00F40E48">
        <w:t>s and preparing for careers with meaningful WBL.</w:t>
      </w:r>
      <w:r w:rsidR="00BB35A2">
        <w:rPr>
          <w:b/>
          <w:bCs/>
        </w:rPr>
        <w:t xml:space="preserve"> </w:t>
      </w:r>
    </w:p>
    <w:p w14:paraId="7E2CBD65" w14:textId="08BE30D5" w:rsidR="00253309" w:rsidRDefault="00253309" w:rsidP="00253309">
      <w:pPr>
        <w:pStyle w:val="Heading3"/>
      </w:pPr>
      <w:r>
        <w:t>Existing Infrastructure</w:t>
      </w:r>
    </w:p>
    <w:p w14:paraId="2F250A0B" w14:textId="6F9DCF06" w:rsidR="00253309" w:rsidRDefault="00F40E48" w:rsidP="003507EF">
      <w:r>
        <w:t>Section III.2. of the Guidance Memo</w:t>
      </w:r>
      <w:r w:rsidR="009036B2">
        <w:t xml:space="preserve"> asks institutions to describe existing infrastructure and </w:t>
      </w:r>
      <w:r w:rsidR="00B162F7">
        <w:t>next steps</w:t>
      </w:r>
      <w:r w:rsidR="009036B2">
        <w:t xml:space="preserve"> to meet the requirements of HB96 and the guidance. This will help ODHE inform realistic state-level goals and </w:t>
      </w:r>
      <w:r w:rsidR="003507EF">
        <w:t>future budgets.</w:t>
      </w:r>
    </w:p>
    <w:p w14:paraId="744086B0" w14:textId="3CC0E812" w:rsidR="00A26639" w:rsidRDefault="00A26639" w:rsidP="003507EF">
      <w:r>
        <w:t xml:space="preserve">Institutions can choose to </w:t>
      </w:r>
      <w:r w:rsidR="00BB35A2">
        <w:t>develop</w:t>
      </w:r>
      <w:r>
        <w:t xml:space="preserve"> </w:t>
      </w:r>
      <w:r w:rsidR="00BB35A2">
        <w:t xml:space="preserve">plans that include expanding </w:t>
      </w:r>
      <w:r w:rsidR="000A373C">
        <w:t>courses or majors with WBL requirements embedded. ODHE’s Program Approval team are available to provide guidance on this process.</w:t>
      </w:r>
    </w:p>
    <w:p w14:paraId="3A0F9F6F" w14:textId="38F81D9D" w:rsidR="00B07635" w:rsidRDefault="00B07635" w:rsidP="003507EF">
      <w:r>
        <w:t>Institutions are encouraged to consider how zero-credit options can allow for mechanisms for faculty oversight</w:t>
      </w:r>
      <w:r w:rsidR="00E859D0">
        <w:t xml:space="preserve"> and document collection through existing SIS or LMS.</w:t>
      </w:r>
      <w:r w:rsidR="00C42478">
        <w:t xml:space="preserve"> </w:t>
      </w:r>
    </w:p>
    <w:p w14:paraId="687CE384" w14:textId="676517C0" w:rsidR="00253309" w:rsidRDefault="00253309" w:rsidP="00253309">
      <w:pPr>
        <w:pStyle w:val="Heading3"/>
      </w:pPr>
      <w:r>
        <w:t>Areas for Growth and Goals</w:t>
      </w:r>
    </w:p>
    <w:p w14:paraId="55DA9B30" w14:textId="31F30C49" w:rsidR="003507EF" w:rsidRDefault="00DE4E8F" w:rsidP="003507EF">
      <w:r>
        <w:t xml:space="preserve">Institutions are expected to set realistic, robust, and implementable goals for AY26-27 to prepare themselves for </w:t>
      </w:r>
      <w:r w:rsidR="00AF77F4">
        <w:t xml:space="preserve">scaling up incrementally in AY27-28. ODHE </w:t>
      </w:r>
      <w:r w:rsidR="00967760">
        <w:t>asks</w:t>
      </w:r>
      <w:r w:rsidR="00AF77F4">
        <w:t xml:space="preserve"> institutions to </w:t>
      </w:r>
      <w:r w:rsidR="00967760">
        <w:t>set long-term goals</w:t>
      </w:r>
      <w:r w:rsidR="00AF77F4">
        <w:t xml:space="preserve"> for </w:t>
      </w:r>
      <w:r w:rsidR="00670E86">
        <w:t xml:space="preserve">data collection, staffing, </w:t>
      </w:r>
      <w:r w:rsidR="00967760">
        <w:t>and</w:t>
      </w:r>
      <w:r w:rsidR="00670E86">
        <w:t xml:space="preserve"> employer outreach</w:t>
      </w:r>
      <w:r w:rsidR="00967760">
        <w:t xml:space="preserve">, with </w:t>
      </w:r>
      <w:r w:rsidR="006E365F">
        <w:t>intermediary goals</w:t>
      </w:r>
      <w:r w:rsidR="00967760">
        <w:t xml:space="preserve"> for the upcoming</w:t>
      </w:r>
      <w:r w:rsidR="00670E86">
        <w:t xml:space="preserve"> academic year</w:t>
      </w:r>
      <w:r w:rsidR="00967760">
        <w:t>s</w:t>
      </w:r>
      <w:r w:rsidR="00670E86">
        <w:t xml:space="preserve">. </w:t>
      </w:r>
    </w:p>
    <w:p w14:paraId="36094BA1" w14:textId="10522C77" w:rsidR="00670E86" w:rsidRDefault="00670E86" w:rsidP="003507EF">
      <w:r>
        <w:t>ODHE will work with each institution to agree upon a plan that sets annual, incremental, and meaningful goals that significantly build capacity over the next 5-10 years.</w:t>
      </w:r>
    </w:p>
    <w:p w14:paraId="71A61F1C" w14:textId="7BE3015E" w:rsidR="00253309" w:rsidRDefault="006323BC" w:rsidP="006323BC">
      <w:pPr>
        <w:pStyle w:val="Heading3"/>
      </w:pPr>
      <w:r>
        <w:t>Outreach Plan</w:t>
      </w:r>
    </w:p>
    <w:p w14:paraId="16294C12" w14:textId="77777777" w:rsidR="006E365F" w:rsidRPr="006E365F" w:rsidRDefault="00BA5127" w:rsidP="00BA5127">
      <w:pPr>
        <w:pStyle w:val="ListParagraph"/>
        <w:numPr>
          <w:ilvl w:val="0"/>
          <w:numId w:val="14"/>
        </w:numPr>
      </w:pPr>
      <w:r w:rsidRPr="006E365F">
        <w:rPr>
          <w:color w:val="156082" w:themeColor="accent1"/>
        </w:rPr>
        <w:t xml:space="preserve">Will institutions be held accountable for employer capacity constraints? </w:t>
      </w:r>
    </w:p>
    <w:p w14:paraId="135C6A65" w14:textId="4958139F" w:rsidR="006323BC" w:rsidRPr="005B2493" w:rsidRDefault="00BA5127" w:rsidP="006E365F">
      <w:pPr>
        <w:pStyle w:val="ListParagraph"/>
        <w:numPr>
          <w:ilvl w:val="1"/>
          <w:numId w:val="14"/>
        </w:numPr>
      </w:pPr>
      <w:r w:rsidRPr="006E365F">
        <w:t>ODHE will review outreach plans for realistic goals given those constraints.</w:t>
      </w:r>
      <w:r w:rsidR="00B235A4" w:rsidRPr="006E365F">
        <w:t xml:space="preserve"> ODHE, JobsOhio, and other state partners will work to increase awareness and avenues for employers to engage with institutions and students.</w:t>
      </w:r>
    </w:p>
    <w:p w14:paraId="01086971" w14:textId="77777777" w:rsidR="002A5BCC" w:rsidRDefault="002A5BCC" w:rsidP="002A5BCC">
      <w:pPr>
        <w:pStyle w:val="ListParagraph"/>
      </w:pPr>
    </w:p>
    <w:p w14:paraId="31378A2A" w14:textId="413FEAEF" w:rsidR="002A5BCC" w:rsidRDefault="002A5BCC" w:rsidP="006E365F">
      <w:r>
        <w:t xml:space="preserve">ODHE </w:t>
      </w:r>
      <w:r w:rsidR="001202FF">
        <w:t xml:space="preserve">encourages institutions </w:t>
      </w:r>
      <w:r w:rsidR="00B624EB">
        <w:t>to develop</w:t>
      </w:r>
      <w:r w:rsidR="00B445F6">
        <w:t xml:space="preserve"> strategies</w:t>
      </w:r>
      <w:r w:rsidR="00BE43FD">
        <w:t xml:space="preserve"> to inc</w:t>
      </w:r>
      <w:r w:rsidR="00523F26">
        <w:t xml:space="preserve">rease student </w:t>
      </w:r>
      <w:r w:rsidR="00CA0747">
        <w:t xml:space="preserve">recruitment and preparations activities. This step could develop a </w:t>
      </w:r>
      <w:r w:rsidR="00907AE1">
        <w:t xml:space="preserve">talent pipeline able to meet new business </w:t>
      </w:r>
      <w:r w:rsidR="003F776B">
        <w:t>partners’</w:t>
      </w:r>
      <w:r w:rsidR="00907AE1">
        <w:t xml:space="preserve"> </w:t>
      </w:r>
      <w:r w:rsidR="00C56B1A">
        <w:t xml:space="preserve">talent needs. Activities could include resume </w:t>
      </w:r>
      <w:r w:rsidR="00471FC3">
        <w:t>preparation</w:t>
      </w:r>
      <w:r w:rsidR="00C56B1A">
        <w:t>, professional skill</w:t>
      </w:r>
      <w:r w:rsidR="00471FC3">
        <w:t xml:space="preserve"> development, </w:t>
      </w:r>
      <w:r w:rsidR="007F20F1">
        <w:t>interview practice</w:t>
      </w:r>
      <w:r w:rsidR="00404D0B">
        <w:t>,</w:t>
      </w:r>
      <w:r w:rsidR="003F776B">
        <w:t xml:space="preserve"> and review of AI in the hiring process.</w:t>
      </w:r>
      <w:r w:rsidR="00523F26">
        <w:t xml:space="preserve"> </w:t>
      </w:r>
    </w:p>
    <w:p w14:paraId="1D0F7567" w14:textId="63668CE2" w:rsidR="006323BC" w:rsidRDefault="006323BC" w:rsidP="006323BC">
      <w:pPr>
        <w:pStyle w:val="Heading2"/>
      </w:pPr>
      <w:r>
        <w:t>Student Verification Documentation</w:t>
      </w:r>
      <w:r w:rsidR="00E52631">
        <w:t xml:space="preserve"> &amp; Data Collection</w:t>
      </w:r>
    </w:p>
    <w:p w14:paraId="4564A722" w14:textId="77777777" w:rsidR="00524437" w:rsidRDefault="00F57C6D" w:rsidP="006323BC">
      <w:r>
        <w:t xml:space="preserve">Please see the updated Student Verification Template, incorporating </w:t>
      </w:r>
      <w:r w:rsidR="00524437">
        <w:t>many suggestions from the field and ODHE data team as we build our data process.</w:t>
      </w:r>
    </w:p>
    <w:p w14:paraId="785880DF" w14:textId="3E29A743" w:rsidR="009D7FD4" w:rsidRDefault="006E365F" w:rsidP="009D7FD4">
      <w:pPr>
        <w:pStyle w:val="ListParagraph"/>
        <w:numPr>
          <w:ilvl w:val="0"/>
          <w:numId w:val="5"/>
        </w:numPr>
      </w:pPr>
      <w:r>
        <w:t>Attestations that support reported WBL</w:t>
      </w:r>
      <w:r w:rsidR="009D7FD4">
        <w:t xml:space="preserve"> must be retained for four years.</w:t>
      </w:r>
    </w:p>
    <w:p w14:paraId="7654D0B0" w14:textId="77777777" w:rsidR="009D7FD4" w:rsidRDefault="009D7FD4" w:rsidP="009D7FD4">
      <w:pPr>
        <w:pStyle w:val="ListParagraph"/>
        <w:numPr>
          <w:ilvl w:val="0"/>
          <w:numId w:val="5"/>
        </w:numPr>
      </w:pPr>
      <w:r>
        <w:t>Students, employers, and advisors must attest to WBL validity.</w:t>
      </w:r>
    </w:p>
    <w:p w14:paraId="70A74A51" w14:textId="1AB3ADC0" w:rsidR="009D7FD4" w:rsidRDefault="009D7FD4" w:rsidP="009D7FD4">
      <w:pPr>
        <w:pStyle w:val="ListParagraph"/>
        <w:numPr>
          <w:ilvl w:val="0"/>
          <w:numId w:val="5"/>
        </w:numPr>
      </w:pPr>
      <w:r>
        <w:t>Templates can be modified by institutions.</w:t>
      </w:r>
    </w:p>
    <w:p w14:paraId="7C5F05CC" w14:textId="7DDBFF9B" w:rsidR="009D7FD4" w:rsidRDefault="009D7FD4" w:rsidP="005B2493">
      <w:pPr>
        <w:pStyle w:val="ListParagraph"/>
        <w:numPr>
          <w:ilvl w:val="0"/>
          <w:numId w:val="5"/>
        </w:numPr>
      </w:pPr>
      <w:r>
        <w:t>Institutions must track completions but do not need to retain all supporting documentation centrally.</w:t>
      </w:r>
      <w:r w:rsidR="00411F44">
        <w:t xml:space="preserve"> </w:t>
      </w:r>
    </w:p>
    <w:p w14:paraId="45AC4DAB" w14:textId="0D32C4AE" w:rsidR="00E83AE7" w:rsidRDefault="00E83AE7" w:rsidP="00E83AE7">
      <w:r>
        <w:t xml:space="preserve">ODHE </w:t>
      </w:r>
      <w:r w:rsidR="00637308">
        <w:t>is also pursuing</w:t>
      </w:r>
      <w:r>
        <w:t xml:space="preserve"> longitudinal data sets that can integrate across state systems </w:t>
      </w:r>
      <w:r w:rsidR="00637308">
        <w:t xml:space="preserve">as </w:t>
      </w:r>
      <w:r>
        <w:t xml:space="preserve">a long-term goal, such as mapping JFS employment outcomes to SSNs from the student data to see job placements. </w:t>
      </w:r>
      <w:r w:rsidR="001022CB">
        <w:t>D</w:t>
      </w:r>
      <w:r>
        <w:t>uring the pilot year(s), we will begin with self-reported job placements.</w:t>
      </w:r>
    </w:p>
    <w:p w14:paraId="0E722F38" w14:textId="50028326" w:rsidR="00E83AE7" w:rsidRDefault="00E83AE7" w:rsidP="00E83AE7">
      <w:r>
        <w:t xml:space="preserve">Institutions will need to develop internal data and workflow </w:t>
      </w:r>
      <w:proofErr w:type="gramStart"/>
      <w:r>
        <w:t>infrastructures,</w:t>
      </w:r>
      <w:proofErr w:type="gramEnd"/>
      <w:r>
        <w:t xml:space="preserve"> </w:t>
      </w:r>
      <w:r w:rsidR="001022CB">
        <w:t xml:space="preserve">that could include </w:t>
      </w:r>
      <w:r>
        <w:t xml:space="preserve">CRMs of some sort. ODHE acknowledges this will take time. This is part of why the </w:t>
      </w:r>
      <w:r w:rsidR="00F63FDF">
        <w:t xml:space="preserve">early </w:t>
      </w:r>
      <w:r>
        <w:t>years include a phased model, allowing institutions to annually iterate their plans and increase goals based on increased capacity over time.</w:t>
      </w:r>
    </w:p>
    <w:p w14:paraId="3DE47A63" w14:textId="2A05614F" w:rsidR="00E83AE7" w:rsidRDefault="00E83AE7" w:rsidP="00E83AE7">
      <w:r>
        <w:t xml:space="preserve">IR offices will be engaged in the process of developing ODHE’s large-scale data collection mechanism. The pilot year reporting templates will be shared </w:t>
      </w:r>
      <w:r w:rsidR="00B162F7">
        <w:t xml:space="preserve">as soon as possible </w:t>
      </w:r>
      <w:r>
        <w:t xml:space="preserve">and will be </w:t>
      </w:r>
      <w:r w:rsidR="00B162F7">
        <w:t xml:space="preserve">collected </w:t>
      </w:r>
      <w:r>
        <w:t xml:space="preserve">via a survey to </w:t>
      </w:r>
      <w:r w:rsidR="00B162F7">
        <w:t>provide</w:t>
      </w:r>
      <w:r w:rsidR="002978AF">
        <w:t xml:space="preserve"> </w:t>
      </w:r>
      <w:r>
        <w:t>time for ODHE’s Data and OH-TECH teams to develop the necessary infrastructure</w:t>
      </w:r>
      <w:r w:rsidR="001D28BD">
        <w:t xml:space="preserve"> in Higher Education Information System (HEI)</w:t>
      </w:r>
      <w:r>
        <w:t>.</w:t>
      </w:r>
    </w:p>
    <w:p w14:paraId="01A6EB7E" w14:textId="4A82BB1D" w:rsidR="001B0DD9" w:rsidRPr="00750FAB" w:rsidRDefault="001B0DD9" w:rsidP="001B0DD9">
      <w:r w:rsidRPr="00750FAB">
        <w:t xml:space="preserve">The same employer documentation can be used to meet multiple criteria (ex. Letter of recommendation with employer information could meet </w:t>
      </w:r>
      <w:r w:rsidR="00F82C7F">
        <w:t>Component</w:t>
      </w:r>
      <w:r w:rsidRPr="00750FAB">
        <w:t xml:space="preserve"> #1, 3, and 5).</w:t>
      </w:r>
    </w:p>
    <w:p w14:paraId="344B9DE3" w14:textId="4081005E" w:rsidR="001B0DD9" w:rsidRDefault="006172F7" w:rsidP="001B0DD9">
      <w:r>
        <w:t>The f</w:t>
      </w:r>
      <w:r w:rsidR="001B0DD9">
        <w:t>aculty</w:t>
      </w:r>
      <w:r>
        <w:t xml:space="preserve"> member/advisor</w:t>
      </w:r>
      <w:r w:rsidR="001B0DD9">
        <w:t xml:space="preserve"> do</w:t>
      </w:r>
      <w:r>
        <w:t>es</w:t>
      </w:r>
      <w:r w:rsidR="001B0DD9">
        <w:t xml:space="preserve"> not need to provide other documentation other than their attestation</w:t>
      </w:r>
      <w:r>
        <w:t xml:space="preserve"> for Component #</w:t>
      </w:r>
      <w:r w:rsidR="00F82C7F">
        <w:t>2</w:t>
      </w:r>
      <w:r w:rsidR="001B0DD9">
        <w:t>.</w:t>
      </w:r>
    </w:p>
    <w:p w14:paraId="53F4D40C" w14:textId="499BEECF" w:rsidR="001B0DD9" w:rsidRDefault="001B0DD9" w:rsidP="001B0DD9">
      <w:r>
        <w:t xml:space="preserve">The career advisor does not have to be specifically assigned or college-specific </w:t>
      </w:r>
      <w:r w:rsidR="00D67566">
        <w:t>but</w:t>
      </w:r>
      <w:r w:rsidR="00F63FDF">
        <w:t xml:space="preserve"> </w:t>
      </w:r>
      <w:r w:rsidR="00D67566">
        <w:t xml:space="preserve">must </w:t>
      </w:r>
      <w:r>
        <w:t xml:space="preserve">attest that they have worked with the student before. Professional staff who serve in student-facing roles </w:t>
      </w:r>
      <w:r w:rsidR="00D67566">
        <w:t>and</w:t>
      </w:r>
      <w:r>
        <w:t xml:space="preserve"> have served as </w:t>
      </w:r>
      <w:proofErr w:type="gramStart"/>
      <w:r>
        <w:t>a career advisor</w:t>
      </w:r>
      <w:proofErr w:type="gramEnd"/>
      <w:r>
        <w:t xml:space="preserve"> or </w:t>
      </w:r>
      <w:proofErr w:type="gramStart"/>
      <w:r>
        <w:t>mentor</w:t>
      </w:r>
      <w:proofErr w:type="gramEnd"/>
      <w:r>
        <w:t xml:space="preserve"> to a student are also eligible to sign off.</w:t>
      </w:r>
    </w:p>
    <w:p w14:paraId="3DDF2B1A" w14:textId="77777777" w:rsidR="00580574" w:rsidRPr="00886C6B" w:rsidRDefault="009F5C28" w:rsidP="001B0DD9">
      <w:pPr>
        <w:pStyle w:val="ListParagraph"/>
        <w:numPr>
          <w:ilvl w:val="0"/>
          <w:numId w:val="16"/>
        </w:numPr>
        <w:spacing w:after="0"/>
        <w:rPr>
          <w:b/>
          <w:bCs/>
          <w:color w:val="156082" w:themeColor="accent1"/>
        </w:rPr>
      </w:pPr>
      <w:r w:rsidRPr="00886C6B">
        <w:rPr>
          <w:color w:val="156082" w:themeColor="accent1"/>
        </w:rPr>
        <w:t xml:space="preserve">Is the student verification template going to be collected by the state? </w:t>
      </w:r>
    </w:p>
    <w:p w14:paraId="33AEE578" w14:textId="61E972F1" w:rsidR="009F5C28" w:rsidRPr="00580574" w:rsidRDefault="009F5C28" w:rsidP="00580574">
      <w:pPr>
        <w:pStyle w:val="ListParagraph"/>
        <w:numPr>
          <w:ilvl w:val="1"/>
          <w:numId w:val="16"/>
        </w:numPr>
        <w:spacing w:after="0"/>
      </w:pPr>
      <w:r w:rsidRPr="00580574">
        <w:lastRenderedPageBreak/>
        <w:t>No</w:t>
      </w:r>
      <w:r w:rsidR="00D67566">
        <w:t>t regularly but should be available upon request</w:t>
      </w:r>
      <w:r w:rsidRPr="00580574">
        <w:t>. The template can be modified and adapted by institutions (digitized into a CRM</w:t>
      </w:r>
      <w:r w:rsidR="00580574">
        <w:t xml:space="preserve"> </w:t>
      </w:r>
      <w:r w:rsidR="00886C6B">
        <w:t>or LMS</w:t>
      </w:r>
      <w:r w:rsidRPr="00580574">
        <w:t xml:space="preserve">, for example), </w:t>
      </w:r>
      <w:r w:rsidR="0039264B" w:rsidRPr="00580574">
        <w:t>if</w:t>
      </w:r>
      <w:r w:rsidRPr="00580574">
        <w:t xml:space="preserve"> the information requested is collected by the institution.</w:t>
      </w:r>
    </w:p>
    <w:p w14:paraId="135432D5" w14:textId="77777777" w:rsidR="00580574" w:rsidRPr="00580574" w:rsidRDefault="00232304" w:rsidP="001B0DD9">
      <w:pPr>
        <w:pStyle w:val="ListParagraph"/>
        <w:numPr>
          <w:ilvl w:val="0"/>
          <w:numId w:val="16"/>
        </w:numPr>
        <w:spacing w:after="0"/>
        <w:rPr>
          <w:color w:val="156082" w:themeColor="accent1"/>
        </w:rPr>
      </w:pPr>
      <w:r w:rsidRPr="00580574">
        <w:rPr>
          <w:color w:val="156082" w:themeColor="accent1"/>
        </w:rPr>
        <w:t>How long will institutions be expected to hold records pertaining to reported WBL data?</w:t>
      </w:r>
    </w:p>
    <w:p w14:paraId="285B03B8" w14:textId="0D7D19D2" w:rsidR="00CB24F7" w:rsidRPr="00F24B12" w:rsidRDefault="00232304" w:rsidP="00580574">
      <w:pPr>
        <w:pStyle w:val="ListParagraph"/>
        <w:numPr>
          <w:ilvl w:val="1"/>
          <w:numId w:val="16"/>
        </w:numPr>
        <w:spacing w:after="0"/>
      </w:pPr>
      <w:r w:rsidRPr="00580574">
        <w:t xml:space="preserve">ODHE expects institutions to collect </w:t>
      </w:r>
      <w:r w:rsidR="00426D22" w:rsidRPr="00580574">
        <w:t>and retain only the information and signed attestations on the Verification Template</w:t>
      </w:r>
      <w:r w:rsidR="00682338" w:rsidRPr="00580574">
        <w:t xml:space="preserve"> for 4 years after submission</w:t>
      </w:r>
      <w:r w:rsidR="00426D22" w:rsidRPr="00580574">
        <w:t xml:space="preserve">. The supporting documentation, as reviewed and attested by the student, employer, and </w:t>
      </w:r>
      <w:r w:rsidR="00682338" w:rsidRPr="00580574">
        <w:t xml:space="preserve">faculty/advisor, does not need to be held by the institution centrally. </w:t>
      </w:r>
    </w:p>
    <w:p w14:paraId="736C5B6C" w14:textId="77777777" w:rsidR="00580574" w:rsidRPr="00580574" w:rsidRDefault="00F24B12" w:rsidP="001B0DD9">
      <w:pPr>
        <w:numPr>
          <w:ilvl w:val="0"/>
          <w:numId w:val="16"/>
        </w:numPr>
        <w:spacing w:after="0" w:line="240" w:lineRule="auto"/>
        <w:rPr>
          <w:color w:val="156082" w:themeColor="accent1"/>
        </w:rPr>
      </w:pPr>
      <w:r w:rsidRPr="00580574">
        <w:rPr>
          <w:color w:val="156082" w:themeColor="accent1"/>
        </w:rPr>
        <w:t xml:space="preserve">Student Verification Document - #5 – Documentation included time sheets – does the time sheet kept by the student and verified with employer signature count? </w:t>
      </w:r>
    </w:p>
    <w:p w14:paraId="3CE7F298" w14:textId="7E25631F" w:rsidR="00F24B12" w:rsidRPr="001B1F30" w:rsidRDefault="00F24B12" w:rsidP="00580574">
      <w:pPr>
        <w:numPr>
          <w:ilvl w:val="1"/>
          <w:numId w:val="16"/>
        </w:numPr>
        <w:spacing w:after="0" w:line="240" w:lineRule="auto"/>
      </w:pPr>
      <w:r w:rsidRPr="00580574">
        <w:t>Yes</w:t>
      </w:r>
    </w:p>
    <w:p w14:paraId="3C669B43" w14:textId="77777777" w:rsidR="00B07635" w:rsidRPr="00580574" w:rsidRDefault="00B07635" w:rsidP="001B0DD9">
      <w:pPr>
        <w:pStyle w:val="ListParagraph"/>
        <w:numPr>
          <w:ilvl w:val="0"/>
          <w:numId w:val="16"/>
        </w:numPr>
        <w:spacing w:after="0"/>
        <w:rPr>
          <w:color w:val="156082" w:themeColor="accent1"/>
        </w:rPr>
      </w:pPr>
      <w:r w:rsidRPr="00580574">
        <w:rPr>
          <w:color w:val="156082" w:themeColor="accent1"/>
        </w:rPr>
        <w:t>Are you suggesting students do not have to be registered with the University to do a work base learning experience?</w:t>
      </w:r>
    </w:p>
    <w:p w14:paraId="0357D616" w14:textId="58FD2F13" w:rsidR="00E83AE7" w:rsidRPr="00E83AE7" w:rsidRDefault="00B07635" w:rsidP="001B0DD9">
      <w:pPr>
        <w:pStyle w:val="ListParagraph"/>
        <w:numPr>
          <w:ilvl w:val="1"/>
          <w:numId w:val="12"/>
        </w:numPr>
        <w:spacing w:after="0"/>
      </w:pPr>
      <w:r w:rsidRPr="00580574">
        <w:t xml:space="preserve">Students do not have </w:t>
      </w:r>
      <w:proofErr w:type="gramStart"/>
      <w:r w:rsidRPr="00580574">
        <w:t>enroll</w:t>
      </w:r>
      <w:proofErr w:type="gramEnd"/>
      <w:r w:rsidRPr="00580574">
        <w:t xml:space="preserve"> their WBL experience as a </w:t>
      </w:r>
      <w:proofErr w:type="spellStart"/>
      <w:r w:rsidRPr="00580574">
        <w:t>transcripted</w:t>
      </w:r>
      <w:proofErr w:type="spellEnd"/>
      <w:r w:rsidRPr="00580574">
        <w:t xml:space="preserve"> or credit course </w:t>
      </w:r>
      <w:r w:rsidR="0039264B" w:rsidRPr="00580574">
        <w:t>to</w:t>
      </w:r>
      <w:r w:rsidRPr="00580574">
        <w:t xml:space="preserve"> record that WBL with the institution to be documented for ODHE’s data collection. For example, many students do not enroll </w:t>
      </w:r>
      <w:proofErr w:type="gramStart"/>
      <w:r w:rsidRPr="00580574">
        <w:t>in</w:t>
      </w:r>
      <w:proofErr w:type="gramEnd"/>
      <w:r w:rsidRPr="00580574">
        <w:t xml:space="preserve"> credit for paid internships. They can still submit the documentation for that paid internship to count towards this initiative. </w:t>
      </w:r>
    </w:p>
    <w:p w14:paraId="7035C90E" w14:textId="77777777" w:rsidR="00E83AE7" w:rsidRPr="00E83AE7" w:rsidRDefault="00E83AE7" w:rsidP="001B0DD9">
      <w:pPr>
        <w:pStyle w:val="ListParagraph"/>
        <w:numPr>
          <w:ilvl w:val="0"/>
          <w:numId w:val="12"/>
        </w:numPr>
        <w:spacing w:after="0"/>
        <w:rPr>
          <w:vanish/>
        </w:rPr>
      </w:pPr>
    </w:p>
    <w:p w14:paraId="6FC23E7A" w14:textId="77777777" w:rsidR="00E83AE7" w:rsidRPr="00E83AE7" w:rsidRDefault="00E83AE7" w:rsidP="001B0DD9">
      <w:pPr>
        <w:pStyle w:val="ListParagraph"/>
        <w:numPr>
          <w:ilvl w:val="0"/>
          <w:numId w:val="12"/>
        </w:numPr>
        <w:spacing w:after="0"/>
        <w:rPr>
          <w:vanish/>
        </w:rPr>
      </w:pPr>
    </w:p>
    <w:p w14:paraId="02FB21EB" w14:textId="77777777" w:rsidR="00E83AE7" w:rsidRPr="00E83AE7" w:rsidRDefault="00E83AE7" w:rsidP="001B0DD9">
      <w:pPr>
        <w:pStyle w:val="ListParagraph"/>
        <w:numPr>
          <w:ilvl w:val="0"/>
          <w:numId w:val="12"/>
        </w:numPr>
        <w:spacing w:after="0"/>
        <w:rPr>
          <w:vanish/>
        </w:rPr>
      </w:pPr>
    </w:p>
    <w:p w14:paraId="1043E0A1" w14:textId="529C9F7C" w:rsidR="00580574" w:rsidRPr="00580574" w:rsidRDefault="00AC6105" w:rsidP="001B0DD9">
      <w:pPr>
        <w:pStyle w:val="ListParagraph"/>
        <w:numPr>
          <w:ilvl w:val="0"/>
          <w:numId w:val="16"/>
        </w:numPr>
        <w:spacing w:after="0"/>
        <w:rPr>
          <w:color w:val="156082" w:themeColor="accent1"/>
        </w:rPr>
      </w:pPr>
      <w:r w:rsidRPr="00580574">
        <w:rPr>
          <w:color w:val="156082" w:themeColor="accent1"/>
        </w:rPr>
        <w:t xml:space="preserve">First Destination Surveys </w:t>
      </w:r>
      <w:r w:rsidR="00F63FDF">
        <w:rPr>
          <w:color w:val="156082" w:themeColor="accent1"/>
        </w:rPr>
        <w:t xml:space="preserve">(FDS) </w:t>
      </w:r>
      <w:r w:rsidRPr="00580574">
        <w:rPr>
          <w:color w:val="156082" w:themeColor="accent1"/>
        </w:rPr>
        <w:t xml:space="preserve">are not collected on a timeline that could facilitate being able to </w:t>
      </w:r>
      <w:r w:rsidR="002B651F" w:rsidRPr="00580574">
        <w:rPr>
          <w:color w:val="156082" w:themeColor="accent1"/>
        </w:rPr>
        <w:t xml:space="preserve">submit job placement data for each WBL. </w:t>
      </w:r>
    </w:p>
    <w:p w14:paraId="367622E4" w14:textId="4FD09729" w:rsidR="00AC6105" w:rsidRDefault="002B651F" w:rsidP="00580574">
      <w:pPr>
        <w:pStyle w:val="ListParagraph"/>
        <w:numPr>
          <w:ilvl w:val="1"/>
          <w:numId w:val="16"/>
        </w:numPr>
        <w:spacing w:after="0"/>
      </w:pPr>
      <w:r w:rsidRPr="00580574">
        <w:t xml:space="preserve">ODHE understands this concern and does not require FDS data to be submitted for this program. Job placements </w:t>
      </w:r>
      <w:proofErr w:type="gramStart"/>
      <w:r w:rsidRPr="00580574">
        <w:t>as a result of</w:t>
      </w:r>
      <w:proofErr w:type="gramEnd"/>
      <w:r w:rsidRPr="00580574">
        <w:t xml:space="preserve"> WBL will be self-reported at this time.</w:t>
      </w:r>
    </w:p>
    <w:p w14:paraId="4425E9F3" w14:textId="77777777" w:rsidR="00766069" w:rsidRPr="00766069" w:rsidRDefault="00E52631" w:rsidP="001B0DD9">
      <w:pPr>
        <w:numPr>
          <w:ilvl w:val="0"/>
          <w:numId w:val="16"/>
        </w:numPr>
        <w:spacing w:after="0" w:line="240" w:lineRule="auto"/>
        <w:rPr>
          <w:color w:val="156082" w:themeColor="accent1"/>
        </w:rPr>
      </w:pPr>
      <w:r w:rsidRPr="00766069">
        <w:rPr>
          <w:color w:val="156082" w:themeColor="accent1"/>
        </w:rPr>
        <w:t xml:space="preserve">To achieve the 75% goal, will the State require mandatory programs within the student’s coursework?  </w:t>
      </w:r>
    </w:p>
    <w:p w14:paraId="47F72F69" w14:textId="1B5C23CE" w:rsidR="00766069" w:rsidRPr="00766069" w:rsidRDefault="00E52631" w:rsidP="00766069">
      <w:pPr>
        <w:numPr>
          <w:ilvl w:val="1"/>
          <w:numId w:val="16"/>
        </w:numPr>
        <w:spacing w:after="0" w:line="240" w:lineRule="auto"/>
      </w:pPr>
      <w:r w:rsidRPr="00766069">
        <w:t xml:space="preserve">No. </w:t>
      </w:r>
      <w:r w:rsidR="00766069">
        <w:t xml:space="preserve">Institutions could consider how mandatory WBL curriculum/coursework, </w:t>
      </w:r>
      <w:r w:rsidR="00603D19">
        <w:t xml:space="preserve">zero-credit options, seals for diplomas or transcripts, etc., incentivize students to complete </w:t>
      </w:r>
      <w:r w:rsidR="00580574">
        <w:t>WBL experiences and submit the documentation to report them.</w:t>
      </w:r>
    </w:p>
    <w:p w14:paraId="57571B28" w14:textId="43B9BF92" w:rsidR="00766069" w:rsidRPr="00766069" w:rsidRDefault="00E52631" w:rsidP="001B0DD9">
      <w:pPr>
        <w:numPr>
          <w:ilvl w:val="0"/>
          <w:numId w:val="16"/>
        </w:numPr>
        <w:spacing w:after="0" w:line="240" w:lineRule="auto"/>
        <w:rPr>
          <w:color w:val="156082" w:themeColor="accent1"/>
        </w:rPr>
      </w:pPr>
      <w:r w:rsidRPr="00766069">
        <w:rPr>
          <w:color w:val="156082" w:themeColor="accent1"/>
        </w:rPr>
        <w:t xml:space="preserve">Under the current plan, does the institution only count students who are in required work-based programs for their major or does this include all undergraduate students whether they are in a required course or not? </w:t>
      </w:r>
    </w:p>
    <w:p w14:paraId="162ADC41" w14:textId="7368CE60" w:rsidR="00E52631" w:rsidRDefault="00E52631" w:rsidP="00766069">
      <w:pPr>
        <w:numPr>
          <w:ilvl w:val="1"/>
          <w:numId w:val="16"/>
        </w:numPr>
        <w:spacing w:after="0" w:line="240" w:lineRule="auto"/>
      </w:pPr>
      <w:r w:rsidRPr="00766069">
        <w:t>Institutions are expected to submit data about WBL completions for any undergraduate students whose WBL</w:t>
      </w:r>
      <w:r w:rsidR="00D67566">
        <w:t xml:space="preserve"> experiences</w:t>
      </w:r>
      <w:r w:rsidRPr="00766069">
        <w:t xml:space="preserve"> meet the five criteria.</w:t>
      </w:r>
    </w:p>
    <w:p w14:paraId="0711C2CE" w14:textId="7B5899FD" w:rsidR="00766069" w:rsidRPr="00766069" w:rsidRDefault="00E52631" w:rsidP="001B0DD9">
      <w:pPr>
        <w:pStyle w:val="ListParagraph"/>
        <w:numPr>
          <w:ilvl w:val="0"/>
          <w:numId w:val="16"/>
        </w:numPr>
        <w:spacing w:after="0"/>
        <w:rPr>
          <w:color w:val="156082" w:themeColor="accent1"/>
        </w:rPr>
      </w:pPr>
      <w:r w:rsidRPr="00766069">
        <w:rPr>
          <w:color w:val="156082" w:themeColor="accent1"/>
        </w:rPr>
        <w:t xml:space="preserve">What types of reports are the institutions </w:t>
      </w:r>
      <w:r w:rsidR="00D67566">
        <w:rPr>
          <w:color w:val="156082" w:themeColor="accent1"/>
        </w:rPr>
        <w:t>required</w:t>
      </w:r>
      <w:r w:rsidR="00D67566" w:rsidRPr="00766069">
        <w:rPr>
          <w:color w:val="156082" w:themeColor="accent1"/>
        </w:rPr>
        <w:t xml:space="preserve"> </w:t>
      </w:r>
      <w:r w:rsidRPr="00766069">
        <w:rPr>
          <w:color w:val="156082" w:themeColor="accent1"/>
        </w:rPr>
        <w:t xml:space="preserve">to submit on a regular basis, especially if they are submitting an annual updated plan? </w:t>
      </w:r>
    </w:p>
    <w:p w14:paraId="139A71F4" w14:textId="38D65BE5" w:rsidR="00766069" w:rsidRPr="00766069" w:rsidRDefault="00E52631" w:rsidP="00766069">
      <w:pPr>
        <w:pStyle w:val="ListParagraph"/>
        <w:numPr>
          <w:ilvl w:val="1"/>
          <w:numId w:val="16"/>
        </w:numPr>
        <w:spacing w:after="0"/>
      </w:pPr>
      <w:r w:rsidRPr="00766069">
        <w:t>Annual data submission windows to submit student-level WBL completions, and programmatic surveys that will collect the updated outreach plans and other information about career services programming at an institution.</w:t>
      </w:r>
      <w:r>
        <w:t xml:space="preserve"> </w:t>
      </w:r>
    </w:p>
    <w:p w14:paraId="276AD32D" w14:textId="72A65ABB" w:rsidR="00766069" w:rsidRPr="00766069" w:rsidRDefault="00E52631" w:rsidP="001B0DD9">
      <w:pPr>
        <w:pStyle w:val="ListParagraph"/>
        <w:numPr>
          <w:ilvl w:val="0"/>
          <w:numId w:val="16"/>
        </w:numPr>
        <w:spacing w:after="0"/>
        <w:rPr>
          <w:color w:val="156082" w:themeColor="accent1"/>
        </w:rPr>
      </w:pPr>
      <w:r w:rsidRPr="00766069">
        <w:rPr>
          <w:color w:val="156082" w:themeColor="accent1"/>
        </w:rPr>
        <w:t xml:space="preserve">If the institution </w:t>
      </w:r>
      <w:r w:rsidR="00D67566">
        <w:rPr>
          <w:color w:val="156082" w:themeColor="accent1"/>
        </w:rPr>
        <w:t>meets</w:t>
      </w:r>
      <w:r w:rsidRPr="00766069">
        <w:rPr>
          <w:color w:val="156082" w:themeColor="accent1"/>
        </w:rPr>
        <w:t xml:space="preserve"> the 75% goal, does the State expect the </w:t>
      </w:r>
      <w:r w:rsidR="0039264B" w:rsidRPr="00766069">
        <w:rPr>
          <w:color w:val="156082" w:themeColor="accent1"/>
        </w:rPr>
        <w:t>goal</w:t>
      </w:r>
      <w:r w:rsidRPr="00766069">
        <w:rPr>
          <w:color w:val="156082" w:themeColor="accent1"/>
        </w:rPr>
        <w:t xml:space="preserve"> to </w:t>
      </w:r>
      <w:r w:rsidR="00D67566">
        <w:rPr>
          <w:color w:val="156082" w:themeColor="accent1"/>
        </w:rPr>
        <w:t>change to</w:t>
      </w:r>
      <w:r w:rsidRPr="00766069">
        <w:rPr>
          <w:color w:val="156082" w:themeColor="accent1"/>
        </w:rPr>
        <w:t xml:space="preserve"> 100%? </w:t>
      </w:r>
    </w:p>
    <w:p w14:paraId="35CF0A6B" w14:textId="65166698" w:rsidR="00E52631" w:rsidRPr="00E64494" w:rsidRDefault="00E52631" w:rsidP="00766069">
      <w:pPr>
        <w:pStyle w:val="ListParagraph"/>
        <w:numPr>
          <w:ilvl w:val="1"/>
          <w:numId w:val="16"/>
        </w:numPr>
        <w:spacing w:after="0"/>
      </w:pPr>
      <w:r w:rsidRPr="00766069">
        <w:lastRenderedPageBreak/>
        <w:t>No, at that point, the State would expect institutions to set goals around improving the quality and range of their career and workforce development services.</w:t>
      </w:r>
    </w:p>
    <w:p w14:paraId="6CF0987A" w14:textId="6ABE4B9A" w:rsidR="00766069" w:rsidRPr="00766069" w:rsidRDefault="00E52631" w:rsidP="001B0DD9">
      <w:pPr>
        <w:pStyle w:val="ListParagraph"/>
        <w:numPr>
          <w:ilvl w:val="0"/>
          <w:numId w:val="16"/>
        </w:numPr>
        <w:spacing w:after="0"/>
        <w:rPr>
          <w:color w:val="156082" w:themeColor="accent1"/>
        </w:rPr>
      </w:pPr>
      <w:r w:rsidRPr="00766069">
        <w:rPr>
          <w:color w:val="156082" w:themeColor="accent1"/>
        </w:rPr>
        <w:t xml:space="preserve">Under Student Information, there is a request for </w:t>
      </w:r>
      <w:r w:rsidR="00D67566">
        <w:rPr>
          <w:color w:val="156082" w:themeColor="accent1"/>
        </w:rPr>
        <w:t>student</w:t>
      </w:r>
      <w:r w:rsidRPr="00766069">
        <w:rPr>
          <w:color w:val="156082" w:themeColor="accent1"/>
        </w:rPr>
        <w:t xml:space="preserve"> ID</w:t>
      </w:r>
      <w:r w:rsidR="00D67566">
        <w:rPr>
          <w:color w:val="156082" w:themeColor="accent1"/>
        </w:rPr>
        <w:t>s</w:t>
      </w:r>
      <w:r w:rsidRPr="00766069">
        <w:rPr>
          <w:color w:val="156082" w:themeColor="accent1"/>
        </w:rPr>
        <w:t xml:space="preserve"> through HEI</w:t>
      </w:r>
      <w:r w:rsidR="00D67566">
        <w:rPr>
          <w:color w:val="156082" w:themeColor="accent1"/>
        </w:rPr>
        <w:t>.</w:t>
      </w:r>
      <w:r w:rsidRPr="00766069">
        <w:rPr>
          <w:color w:val="156082" w:themeColor="accent1"/>
        </w:rPr>
        <w:t xml:space="preserve"> </w:t>
      </w:r>
      <w:r w:rsidR="00D67566">
        <w:rPr>
          <w:color w:val="156082" w:themeColor="accent1"/>
        </w:rPr>
        <w:t>W</w:t>
      </w:r>
      <w:r w:rsidRPr="00766069">
        <w:rPr>
          <w:color w:val="156082" w:themeColor="accent1"/>
        </w:rPr>
        <w:t xml:space="preserve">here can the institutions find a listing for the Higher Education Information system or are the IDs the same as the university’s student id that is already assigned to them? </w:t>
      </w:r>
    </w:p>
    <w:p w14:paraId="5D3F89FE" w14:textId="3A80DC73" w:rsidR="00E52631" w:rsidRPr="00593DF3" w:rsidRDefault="00E52631" w:rsidP="00766069">
      <w:pPr>
        <w:pStyle w:val="ListParagraph"/>
        <w:numPr>
          <w:ilvl w:val="1"/>
          <w:numId w:val="16"/>
        </w:numPr>
        <w:spacing w:after="0"/>
      </w:pPr>
      <w:r w:rsidRPr="00766069">
        <w:t xml:space="preserve">ODHE expects institutions to work with their IR teams to map students’ HEI IDs. An institution can collect a student ID internally on the submitted documentation and then work to map those to HEI IDs. ODHE will require data to be submitted with HEI IDs for tracking. </w:t>
      </w:r>
    </w:p>
    <w:p w14:paraId="3F6BD50C" w14:textId="77777777" w:rsidR="00766069" w:rsidRPr="00766069" w:rsidRDefault="00593DF3" w:rsidP="001B0DD9">
      <w:pPr>
        <w:numPr>
          <w:ilvl w:val="0"/>
          <w:numId w:val="16"/>
        </w:numPr>
        <w:spacing w:after="0" w:line="240" w:lineRule="auto"/>
        <w:rPr>
          <w:color w:val="156082" w:themeColor="accent1"/>
        </w:rPr>
      </w:pPr>
      <w:r w:rsidRPr="00766069">
        <w:rPr>
          <w:color w:val="156082" w:themeColor="accent1"/>
        </w:rPr>
        <w:t xml:space="preserve">Since institutions do already have established employer pipelines with the same companies as JobsOhio, will the institutions be expected to differentiate how the </w:t>
      </w:r>
      <w:r w:rsidR="0039264B" w:rsidRPr="00766069">
        <w:rPr>
          <w:color w:val="156082" w:themeColor="accent1"/>
        </w:rPr>
        <w:t>students</w:t>
      </w:r>
      <w:r w:rsidRPr="00766069">
        <w:rPr>
          <w:color w:val="156082" w:themeColor="accent1"/>
        </w:rPr>
        <w:t xml:space="preserve"> learned about their work-based learning (via the institution or via JO) in any of the reporting? </w:t>
      </w:r>
    </w:p>
    <w:p w14:paraId="215CC18B" w14:textId="21673F5E" w:rsidR="00593DF3" w:rsidRDefault="00593DF3" w:rsidP="00766069">
      <w:pPr>
        <w:numPr>
          <w:ilvl w:val="1"/>
          <w:numId w:val="16"/>
        </w:numPr>
        <w:spacing w:after="0" w:line="240" w:lineRule="auto"/>
      </w:pPr>
      <w:r w:rsidRPr="00766069">
        <w:t>No</w:t>
      </w:r>
    </w:p>
    <w:p w14:paraId="05C8DC41" w14:textId="77777777" w:rsidR="00766069" w:rsidRPr="00766069" w:rsidRDefault="001B0DD9" w:rsidP="001B0DD9">
      <w:pPr>
        <w:pStyle w:val="ListParagraph"/>
        <w:numPr>
          <w:ilvl w:val="0"/>
          <w:numId w:val="16"/>
        </w:numPr>
        <w:spacing w:after="0"/>
        <w:rPr>
          <w:color w:val="156082" w:themeColor="accent1"/>
        </w:rPr>
      </w:pPr>
      <w:r w:rsidRPr="00766069">
        <w:rPr>
          <w:color w:val="156082" w:themeColor="accent1"/>
        </w:rPr>
        <w:t xml:space="preserve">If a student has multiple work-based learning experiences, do the institutions count all the experiences? </w:t>
      </w:r>
    </w:p>
    <w:p w14:paraId="5C401F81" w14:textId="6ED53E6D" w:rsidR="001B0DD9" w:rsidRDefault="001B0DD9" w:rsidP="00766069">
      <w:pPr>
        <w:pStyle w:val="ListParagraph"/>
        <w:numPr>
          <w:ilvl w:val="1"/>
          <w:numId w:val="16"/>
        </w:numPr>
        <w:spacing w:after="0"/>
      </w:pPr>
      <w:r w:rsidRPr="00766069">
        <w:t>Yes, if the student is willing to submit the paperwork!</w:t>
      </w:r>
    </w:p>
    <w:p w14:paraId="572CDADD" w14:textId="77777777" w:rsidR="00766069" w:rsidRPr="00766069" w:rsidRDefault="004E0969" w:rsidP="00766069">
      <w:pPr>
        <w:numPr>
          <w:ilvl w:val="0"/>
          <w:numId w:val="16"/>
        </w:numPr>
        <w:spacing w:after="0" w:line="240" w:lineRule="auto"/>
        <w:rPr>
          <w:color w:val="156082" w:themeColor="accent1"/>
        </w:rPr>
      </w:pPr>
      <w:r w:rsidRPr="00766069">
        <w:rPr>
          <w:color w:val="156082" w:themeColor="accent1"/>
        </w:rPr>
        <w:t xml:space="preserve">Can the data being collected include out-of-state work-based learning experiences? </w:t>
      </w:r>
    </w:p>
    <w:p w14:paraId="6EED5181" w14:textId="360ACB7A" w:rsidR="00593DF3" w:rsidRPr="00E93696" w:rsidRDefault="004E0969" w:rsidP="00766069">
      <w:pPr>
        <w:numPr>
          <w:ilvl w:val="1"/>
          <w:numId w:val="16"/>
        </w:numPr>
        <w:spacing w:after="0" w:line="240" w:lineRule="auto"/>
      </w:pPr>
      <w:r w:rsidRPr="00766069">
        <w:t>Yes</w:t>
      </w:r>
    </w:p>
    <w:p w14:paraId="7DF69DC3" w14:textId="0686A18B" w:rsidR="00F94CA8" w:rsidRDefault="00100BC9" w:rsidP="00F94CA8">
      <w:pPr>
        <w:pStyle w:val="Heading2"/>
      </w:pPr>
      <w:r>
        <w:t xml:space="preserve">Other </w:t>
      </w:r>
      <w:r w:rsidR="00C1205A">
        <w:t>FAQ</w:t>
      </w:r>
    </w:p>
    <w:p w14:paraId="1E099BBB" w14:textId="4FD478F8" w:rsidR="00393C64" w:rsidRDefault="001B0DD9" w:rsidP="00E52631">
      <w:pPr>
        <w:pStyle w:val="ListParagraph"/>
        <w:numPr>
          <w:ilvl w:val="0"/>
          <w:numId w:val="16"/>
        </w:numPr>
      </w:pPr>
      <w:r>
        <w:t>ODHE will provide a w</w:t>
      </w:r>
      <w:r w:rsidR="00D633E5">
        <w:t>aiver</w:t>
      </w:r>
      <w:r>
        <w:t xml:space="preserve"> request form that</w:t>
      </w:r>
      <w:r w:rsidR="00D633E5">
        <w:t xml:space="preserve"> will be available </w:t>
      </w:r>
      <w:r>
        <w:t xml:space="preserve">for a situation in which an institution believes a student’s WBL experience may </w:t>
      </w:r>
      <w:r w:rsidR="007C518C">
        <w:t xml:space="preserve">meet the criteria in spirit but does not quite fit the </w:t>
      </w:r>
      <w:r w:rsidR="00482C8D">
        <w:t>requirements</w:t>
      </w:r>
      <w:r w:rsidR="001E2824">
        <w:t xml:space="preserve"> or listed options</w:t>
      </w:r>
      <w:r w:rsidR="00482C8D">
        <w:t xml:space="preserve">. The waivers cannot be used </w:t>
      </w:r>
      <w:r w:rsidR="00AD7BA7">
        <w:t xml:space="preserve">to allow programs under 40 hours. </w:t>
      </w:r>
    </w:p>
    <w:p w14:paraId="47221386" w14:textId="77777777" w:rsidR="00196375" w:rsidRPr="00196375" w:rsidRDefault="00D95989" w:rsidP="00E52631">
      <w:pPr>
        <w:numPr>
          <w:ilvl w:val="0"/>
          <w:numId w:val="16"/>
        </w:numPr>
        <w:spacing w:after="0" w:line="240" w:lineRule="auto"/>
      </w:pPr>
      <w:r w:rsidRPr="00196375">
        <w:rPr>
          <w:color w:val="156082" w:themeColor="accent1"/>
        </w:rPr>
        <w:t>Will the State consider future funding to assist the institutions with building and creating the work-based learning programs?</w:t>
      </w:r>
      <w:r w:rsidRPr="00196375">
        <w:rPr>
          <w:b/>
        </w:rPr>
        <w:t xml:space="preserve"> </w:t>
      </w:r>
    </w:p>
    <w:p w14:paraId="603DA905" w14:textId="6714B093" w:rsidR="00D95989" w:rsidRPr="005235A0" w:rsidRDefault="00D95989" w:rsidP="00196375">
      <w:pPr>
        <w:numPr>
          <w:ilvl w:val="1"/>
          <w:numId w:val="16"/>
        </w:numPr>
        <w:spacing w:after="0" w:line="240" w:lineRule="auto"/>
      </w:pPr>
      <w:r w:rsidRPr="00196375">
        <w:t>Yes</w:t>
      </w:r>
      <w:r w:rsidR="00F63FDF">
        <w:t>.</w:t>
      </w:r>
      <w:r w:rsidR="00196375">
        <w:t xml:space="preserve"> </w:t>
      </w:r>
      <w:r w:rsidR="0024173E">
        <w:t xml:space="preserve">ODHE will pursue opportunities to secure state funding </w:t>
      </w:r>
      <w:r w:rsidR="00E92E13">
        <w:t xml:space="preserve">and investigate outside grants </w:t>
      </w:r>
      <w:r w:rsidR="0024173E">
        <w:t>for this initiative’s growth</w:t>
      </w:r>
      <w:r w:rsidR="00E8412B">
        <w:t xml:space="preserve">. </w:t>
      </w:r>
      <w:r w:rsidR="00196375">
        <w:t xml:space="preserve">ODHE also encourages institutions to apply for grants </w:t>
      </w:r>
      <w:r w:rsidR="0024173E">
        <w:t>to invest in programs.</w:t>
      </w:r>
    </w:p>
    <w:p w14:paraId="09A8D02E" w14:textId="77777777" w:rsidR="00196375" w:rsidRPr="00196375" w:rsidRDefault="005235A0" w:rsidP="00E52631">
      <w:pPr>
        <w:numPr>
          <w:ilvl w:val="0"/>
          <w:numId w:val="16"/>
        </w:numPr>
        <w:spacing w:after="0" w:line="240" w:lineRule="auto"/>
      </w:pPr>
      <w:r w:rsidRPr="00196375">
        <w:rPr>
          <w:color w:val="156082" w:themeColor="accent1"/>
        </w:rPr>
        <w:t xml:space="preserve">Regarding preparing students to be career ready, does the State have a classification to add Career-Readiness as a general education course?  Will the State require institutions to mandate a career readiness course for all students? </w:t>
      </w:r>
    </w:p>
    <w:p w14:paraId="03C27319" w14:textId="1FC6D5D0" w:rsidR="00727023" w:rsidRPr="005A754F" w:rsidRDefault="005235A0" w:rsidP="00886C6B">
      <w:pPr>
        <w:numPr>
          <w:ilvl w:val="1"/>
          <w:numId w:val="16"/>
        </w:numPr>
        <w:spacing w:after="0" w:line="240" w:lineRule="auto"/>
      </w:pPr>
      <w:r w:rsidRPr="00196375">
        <w:t xml:space="preserve">In HB96, </w:t>
      </w:r>
      <w:r w:rsidR="00746D6F" w:rsidRPr="00196375">
        <w:t xml:space="preserve">there is a requirement of Boards of Trustees </w:t>
      </w:r>
      <w:r w:rsidR="00E11E2E" w:rsidRPr="00196375">
        <w:t>to consider adding career readiness to general education requirements</w:t>
      </w:r>
      <w:r w:rsidR="00E92E13">
        <w:t xml:space="preserve"> and the decision will be left to them.</w:t>
      </w:r>
    </w:p>
    <w:sectPr w:rsidR="00727023" w:rsidRPr="005A754F" w:rsidSect="00297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FAE"/>
    <w:multiLevelType w:val="hybridMultilevel"/>
    <w:tmpl w:val="87E871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36822"/>
    <w:multiLevelType w:val="hybridMultilevel"/>
    <w:tmpl w:val="E6D4F7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2231D"/>
    <w:multiLevelType w:val="hybridMultilevel"/>
    <w:tmpl w:val="E6D4F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298E"/>
    <w:multiLevelType w:val="hybridMultilevel"/>
    <w:tmpl w:val="98F45FD0"/>
    <w:lvl w:ilvl="0" w:tplc="23FA73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A0A9E"/>
    <w:multiLevelType w:val="hybridMultilevel"/>
    <w:tmpl w:val="263C1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D00DB"/>
    <w:multiLevelType w:val="hybridMultilevel"/>
    <w:tmpl w:val="A8B0E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9F3CAF"/>
    <w:multiLevelType w:val="hybridMultilevel"/>
    <w:tmpl w:val="338E39F0"/>
    <w:lvl w:ilvl="0" w:tplc="069E14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61DA0"/>
    <w:multiLevelType w:val="hybridMultilevel"/>
    <w:tmpl w:val="9998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F2E92"/>
    <w:multiLevelType w:val="hybridMultilevel"/>
    <w:tmpl w:val="C09A8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20061"/>
    <w:multiLevelType w:val="multilevel"/>
    <w:tmpl w:val="5B06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CB396D"/>
    <w:multiLevelType w:val="hybridMultilevel"/>
    <w:tmpl w:val="47D402EA"/>
    <w:lvl w:ilvl="0" w:tplc="51A6CAD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62E9C"/>
    <w:multiLevelType w:val="hybridMultilevel"/>
    <w:tmpl w:val="13005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B33D16"/>
    <w:multiLevelType w:val="hybridMultilevel"/>
    <w:tmpl w:val="48F65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845B5"/>
    <w:multiLevelType w:val="hybridMultilevel"/>
    <w:tmpl w:val="DA00C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F3EF1"/>
    <w:multiLevelType w:val="hybridMultilevel"/>
    <w:tmpl w:val="0044A7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E5973"/>
    <w:multiLevelType w:val="hybridMultilevel"/>
    <w:tmpl w:val="9472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275396">
    <w:abstractNumId w:val="12"/>
  </w:num>
  <w:num w:numId="2" w16cid:durableId="1092436328">
    <w:abstractNumId w:val="2"/>
  </w:num>
  <w:num w:numId="3" w16cid:durableId="1262956788">
    <w:abstractNumId w:val="6"/>
  </w:num>
  <w:num w:numId="4" w16cid:durableId="1279533316">
    <w:abstractNumId w:val="5"/>
  </w:num>
  <w:num w:numId="5" w16cid:durableId="1364938351">
    <w:abstractNumId w:val="4"/>
  </w:num>
  <w:num w:numId="6" w16cid:durableId="1384716543">
    <w:abstractNumId w:val="10"/>
  </w:num>
  <w:num w:numId="7" w16cid:durableId="1465730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4414422">
    <w:abstractNumId w:val="7"/>
  </w:num>
  <w:num w:numId="9" w16cid:durableId="1852063670">
    <w:abstractNumId w:val="13"/>
  </w:num>
  <w:num w:numId="10" w16cid:durableId="2005816862">
    <w:abstractNumId w:val="11"/>
  </w:num>
  <w:num w:numId="11" w16cid:durableId="2063018061">
    <w:abstractNumId w:val="8"/>
  </w:num>
  <w:num w:numId="12" w16cid:durableId="455803099">
    <w:abstractNumId w:val="1"/>
  </w:num>
  <w:num w:numId="13" w16cid:durableId="465241491">
    <w:abstractNumId w:val="14"/>
  </w:num>
  <w:num w:numId="14" w16cid:durableId="658996357">
    <w:abstractNumId w:val="0"/>
  </w:num>
  <w:num w:numId="15" w16cid:durableId="693769382">
    <w:abstractNumId w:val="15"/>
  </w:num>
  <w:num w:numId="16" w16cid:durableId="92093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A50"/>
    <w:rsid w:val="00006532"/>
    <w:rsid w:val="00013AAE"/>
    <w:rsid w:val="000468C9"/>
    <w:rsid w:val="00055A99"/>
    <w:rsid w:val="00067F93"/>
    <w:rsid w:val="000719C2"/>
    <w:rsid w:val="00072BC1"/>
    <w:rsid w:val="0008175C"/>
    <w:rsid w:val="00094858"/>
    <w:rsid w:val="000A373C"/>
    <w:rsid w:val="000B43F5"/>
    <w:rsid w:val="000E16CE"/>
    <w:rsid w:val="000E5332"/>
    <w:rsid w:val="00100BC9"/>
    <w:rsid w:val="001022CB"/>
    <w:rsid w:val="00102567"/>
    <w:rsid w:val="001029FF"/>
    <w:rsid w:val="00106694"/>
    <w:rsid w:val="00111B2B"/>
    <w:rsid w:val="001202FF"/>
    <w:rsid w:val="001350AC"/>
    <w:rsid w:val="00135ACE"/>
    <w:rsid w:val="00136D4A"/>
    <w:rsid w:val="0014093B"/>
    <w:rsid w:val="00141704"/>
    <w:rsid w:val="00151FF3"/>
    <w:rsid w:val="001675D8"/>
    <w:rsid w:val="00170B69"/>
    <w:rsid w:val="0017597A"/>
    <w:rsid w:val="00177781"/>
    <w:rsid w:val="00184A8C"/>
    <w:rsid w:val="00196375"/>
    <w:rsid w:val="001A5EC1"/>
    <w:rsid w:val="001B0DD9"/>
    <w:rsid w:val="001C773E"/>
    <w:rsid w:val="001D28BD"/>
    <w:rsid w:val="001D3B26"/>
    <w:rsid w:val="001E2824"/>
    <w:rsid w:val="001F4D3F"/>
    <w:rsid w:val="001F7907"/>
    <w:rsid w:val="00220A78"/>
    <w:rsid w:val="0022136C"/>
    <w:rsid w:val="00232304"/>
    <w:rsid w:val="002332BF"/>
    <w:rsid w:val="00233C2E"/>
    <w:rsid w:val="0024173E"/>
    <w:rsid w:val="00247285"/>
    <w:rsid w:val="00253309"/>
    <w:rsid w:val="00267D0F"/>
    <w:rsid w:val="00272B84"/>
    <w:rsid w:val="00282A63"/>
    <w:rsid w:val="00295B13"/>
    <w:rsid w:val="002978AF"/>
    <w:rsid w:val="002A5BCC"/>
    <w:rsid w:val="002B651F"/>
    <w:rsid w:val="002C0594"/>
    <w:rsid w:val="002D0E6B"/>
    <w:rsid w:val="002D2045"/>
    <w:rsid w:val="002F1FBE"/>
    <w:rsid w:val="002F6158"/>
    <w:rsid w:val="00310DC2"/>
    <w:rsid w:val="00312B09"/>
    <w:rsid w:val="0032329B"/>
    <w:rsid w:val="0034783B"/>
    <w:rsid w:val="003507EF"/>
    <w:rsid w:val="0036498A"/>
    <w:rsid w:val="00366DBE"/>
    <w:rsid w:val="0039264B"/>
    <w:rsid w:val="00393C64"/>
    <w:rsid w:val="003A1FE5"/>
    <w:rsid w:val="003B7597"/>
    <w:rsid w:val="003C1CE2"/>
    <w:rsid w:val="003D0F52"/>
    <w:rsid w:val="003E1AEF"/>
    <w:rsid w:val="003E4572"/>
    <w:rsid w:val="003E5FA8"/>
    <w:rsid w:val="003F539F"/>
    <w:rsid w:val="003F6D99"/>
    <w:rsid w:val="003F776B"/>
    <w:rsid w:val="00404D0B"/>
    <w:rsid w:val="004062B7"/>
    <w:rsid w:val="00411F44"/>
    <w:rsid w:val="00421D8A"/>
    <w:rsid w:val="00426D22"/>
    <w:rsid w:val="004275AA"/>
    <w:rsid w:val="00436174"/>
    <w:rsid w:val="00444B4D"/>
    <w:rsid w:val="0046350C"/>
    <w:rsid w:val="00471FC3"/>
    <w:rsid w:val="00475157"/>
    <w:rsid w:val="00482C8D"/>
    <w:rsid w:val="00491955"/>
    <w:rsid w:val="004A0A63"/>
    <w:rsid w:val="004A37CA"/>
    <w:rsid w:val="004C106D"/>
    <w:rsid w:val="004C1707"/>
    <w:rsid w:val="004C6753"/>
    <w:rsid w:val="004D11EA"/>
    <w:rsid w:val="004D4156"/>
    <w:rsid w:val="004D58C0"/>
    <w:rsid w:val="004E0969"/>
    <w:rsid w:val="004E26AA"/>
    <w:rsid w:val="00511B8D"/>
    <w:rsid w:val="005131C6"/>
    <w:rsid w:val="0052283A"/>
    <w:rsid w:val="005235A0"/>
    <w:rsid w:val="00523608"/>
    <w:rsid w:val="00523F26"/>
    <w:rsid w:val="00524154"/>
    <w:rsid w:val="00524437"/>
    <w:rsid w:val="00530F38"/>
    <w:rsid w:val="00547DFA"/>
    <w:rsid w:val="00551970"/>
    <w:rsid w:val="00567D4C"/>
    <w:rsid w:val="00580574"/>
    <w:rsid w:val="00593DF3"/>
    <w:rsid w:val="005A259C"/>
    <w:rsid w:val="005A70D7"/>
    <w:rsid w:val="005A7501"/>
    <w:rsid w:val="005A754F"/>
    <w:rsid w:val="005B1DC8"/>
    <w:rsid w:val="005B2493"/>
    <w:rsid w:val="005B6005"/>
    <w:rsid w:val="005E08BE"/>
    <w:rsid w:val="005F5072"/>
    <w:rsid w:val="0060067A"/>
    <w:rsid w:val="00603D19"/>
    <w:rsid w:val="00612BAE"/>
    <w:rsid w:val="0061334F"/>
    <w:rsid w:val="006172F7"/>
    <w:rsid w:val="006323BC"/>
    <w:rsid w:val="00633A87"/>
    <w:rsid w:val="00637308"/>
    <w:rsid w:val="00643E10"/>
    <w:rsid w:val="006671E2"/>
    <w:rsid w:val="00667678"/>
    <w:rsid w:val="00670E86"/>
    <w:rsid w:val="00676B5D"/>
    <w:rsid w:val="006808F4"/>
    <w:rsid w:val="00682338"/>
    <w:rsid w:val="006A2175"/>
    <w:rsid w:val="006A7F2A"/>
    <w:rsid w:val="006B0A74"/>
    <w:rsid w:val="006B361B"/>
    <w:rsid w:val="006B6357"/>
    <w:rsid w:val="006C05D6"/>
    <w:rsid w:val="006C42B6"/>
    <w:rsid w:val="006C50CE"/>
    <w:rsid w:val="006D3AFD"/>
    <w:rsid w:val="006D7DCD"/>
    <w:rsid w:val="006E1CA9"/>
    <w:rsid w:val="006E365F"/>
    <w:rsid w:val="00703672"/>
    <w:rsid w:val="00727023"/>
    <w:rsid w:val="007311ED"/>
    <w:rsid w:val="00735217"/>
    <w:rsid w:val="00746D6F"/>
    <w:rsid w:val="00750FAB"/>
    <w:rsid w:val="007526C5"/>
    <w:rsid w:val="00766069"/>
    <w:rsid w:val="007678D5"/>
    <w:rsid w:val="00770368"/>
    <w:rsid w:val="00774A50"/>
    <w:rsid w:val="0078045A"/>
    <w:rsid w:val="00782FD8"/>
    <w:rsid w:val="00783659"/>
    <w:rsid w:val="00792345"/>
    <w:rsid w:val="0079379B"/>
    <w:rsid w:val="00795852"/>
    <w:rsid w:val="007B649B"/>
    <w:rsid w:val="007C518C"/>
    <w:rsid w:val="007D345E"/>
    <w:rsid w:val="007F20F1"/>
    <w:rsid w:val="007F3B23"/>
    <w:rsid w:val="007F71F9"/>
    <w:rsid w:val="008034D4"/>
    <w:rsid w:val="00805730"/>
    <w:rsid w:val="00813C5E"/>
    <w:rsid w:val="008179BA"/>
    <w:rsid w:val="00822FFA"/>
    <w:rsid w:val="00823920"/>
    <w:rsid w:val="0082513C"/>
    <w:rsid w:val="00831FEC"/>
    <w:rsid w:val="00844C56"/>
    <w:rsid w:val="00854F46"/>
    <w:rsid w:val="00873D8C"/>
    <w:rsid w:val="0087448B"/>
    <w:rsid w:val="00886A21"/>
    <w:rsid w:val="00886C6B"/>
    <w:rsid w:val="008A49BD"/>
    <w:rsid w:val="008A7A31"/>
    <w:rsid w:val="008B75FC"/>
    <w:rsid w:val="008C0614"/>
    <w:rsid w:val="008C6A40"/>
    <w:rsid w:val="008D6AAA"/>
    <w:rsid w:val="00901ABC"/>
    <w:rsid w:val="009036B2"/>
    <w:rsid w:val="009069CA"/>
    <w:rsid w:val="00907AE1"/>
    <w:rsid w:val="00922859"/>
    <w:rsid w:val="009338D6"/>
    <w:rsid w:val="00937CE7"/>
    <w:rsid w:val="00950102"/>
    <w:rsid w:val="00956261"/>
    <w:rsid w:val="00967760"/>
    <w:rsid w:val="00980E51"/>
    <w:rsid w:val="00984948"/>
    <w:rsid w:val="009863E2"/>
    <w:rsid w:val="009930F4"/>
    <w:rsid w:val="009A2906"/>
    <w:rsid w:val="009C0B6F"/>
    <w:rsid w:val="009D7FD4"/>
    <w:rsid w:val="009E351C"/>
    <w:rsid w:val="009E661B"/>
    <w:rsid w:val="009F0A65"/>
    <w:rsid w:val="009F2C26"/>
    <w:rsid w:val="009F48A7"/>
    <w:rsid w:val="009F5C28"/>
    <w:rsid w:val="00A00AA6"/>
    <w:rsid w:val="00A26639"/>
    <w:rsid w:val="00A353D8"/>
    <w:rsid w:val="00A401A0"/>
    <w:rsid w:val="00A57964"/>
    <w:rsid w:val="00A60DB8"/>
    <w:rsid w:val="00A90A76"/>
    <w:rsid w:val="00A962A2"/>
    <w:rsid w:val="00AA4B95"/>
    <w:rsid w:val="00AC6105"/>
    <w:rsid w:val="00AD6278"/>
    <w:rsid w:val="00AD71D7"/>
    <w:rsid w:val="00AD7BA7"/>
    <w:rsid w:val="00AF77F4"/>
    <w:rsid w:val="00B07635"/>
    <w:rsid w:val="00B162F7"/>
    <w:rsid w:val="00B235A4"/>
    <w:rsid w:val="00B33982"/>
    <w:rsid w:val="00B445F6"/>
    <w:rsid w:val="00B45C50"/>
    <w:rsid w:val="00B624EB"/>
    <w:rsid w:val="00B81111"/>
    <w:rsid w:val="00B81921"/>
    <w:rsid w:val="00B90647"/>
    <w:rsid w:val="00B916DC"/>
    <w:rsid w:val="00BA5127"/>
    <w:rsid w:val="00BB2596"/>
    <w:rsid w:val="00BB2985"/>
    <w:rsid w:val="00BB35A2"/>
    <w:rsid w:val="00BB69DE"/>
    <w:rsid w:val="00BC0496"/>
    <w:rsid w:val="00BC05C1"/>
    <w:rsid w:val="00BD5FD6"/>
    <w:rsid w:val="00BE08DF"/>
    <w:rsid w:val="00BE43FD"/>
    <w:rsid w:val="00BE516F"/>
    <w:rsid w:val="00BF37C3"/>
    <w:rsid w:val="00C1115E"/>
    <w:rsid w:val="00C1205A"/>
    <w:rsid w:val="00C24D5E"/>
    <w:rsid w:val="00C42478"/>
    <w:rsid w:val="00C548D6"/>
    <w:rsid w:val="00C56B1A"/>
    <w:rsid w:val="00C66280"/>
    <w:rsid w:val="00C81628"/>
    <w:rsid w:val="00C90482"/>
    <w:rsid w:val="00CA0747"/>
    <w:rsid w:val="00CA722C"/>
    <w:rsid w:val="00CB24F7"/>
    <w:rsid w:val="00CB39C1"/>
    <w:rsid w:val="00CC681D"/>
    <w:rsid w:val="00CC75F9"/>
    <w:rsid w:val="00CE035F"/>
    <w:rsid w:val="00D047D7"/>
    <w:rsid w:val="00D06AE2"/>
    <w:rsid w:val="00D170A1"/>
    <w:rsid w:val="00D203CC"/>
    <w:rsid w:val="00D304D4"/>
    <w:rsid w:val="00D362FD"/>
    <w:rsid w:val="00D42CDF"/>
    <w:rsid w:val="00D45665"/>
    <w:rsid w:val="00D4734C"/>
    <w:rsid w:val="00D52EEE"/>
    <w:rsid w:val="00D63378"/>
    <w:rsid w:val="00D633E5"/>
    <w:rsid w:val="00D67566"/>
    <w:rsid w:val="00D73901"/>
    <w:rsid w:val="00D86499"/>
    <w:rsid w:val="00D95989"/>
    <w:rsid w:val="00DA08EE"/>
    <w:rsid w:val="00DA2516"/>
    <w:rsid w:val="00DC60FE"/>
    <w:rsid w:val="00DE2904"/>
    <w:rsid w:val="00DE465E"/>
    <w:rsid w:val="00DE4E8F"/>
    <w:rsid w:val="00DF2FD5"/>
    <w:rsid w:val="00DF66DF"/>
    <w:rsid w:val="00DF6A75"/>
    <w:rsid w:val="00E11E2E"/>
    <w:rsid w:val="00E25017"/>
    <w:rsid w:val="00E46F6C"/>
    <w:rsid w:val="00E52631"/>
    <w:rsid w:val="00E53A3C"/>
    <w:rsid w:val="00E62BC9"/>
    <w:rsid w:val="00E64494"/>
    <w:rsid w:val="00E67EC3"/>
    <w:rsid w:val="00E8058F"/>
    <w:rsid w:val="00E83AE7"/>
    <w:rsid w:val="00E8412B"/>
    <w:rsid w:val="00E859D0"/>
    <w:rsid w:val="00E92E13"/>
    <w:rsid w:val="00E93696"/>
    <w:rsid w:val="00EA207B"/>
    <w:rsid w:val="00EA3E44"/>
    <w:rsid w:val="00EB4375"/>
    <w:rsid w:val="00EB7FEB"/>
    <w:rsid w:val="00EC0C58"/>
    <w:rsid w:val="00EE45CB"/>
    <w:rsid w:val="00F02023"/>
    <w:rsid w:val="00F1470A"/>
    <w:rsid w:val="00F153EB"/>
    <w:rsid w:val="00F154D0"/>
    <w:rsid w:val="00F24B12"/>
    <w:rsid w:val="00F25032"/>
    <w:rsid w:val="00F35756"/>
    <w:rsid w:val="00F35ACC"/>
    <w:rsid w:val="00F40E48"/>
    <w:rsid w:val="00F57C6D"/>
    <w:rsid w:val="00F63FDF"/>
    <w:rsid w:val="00F64E48"/>
    <w:rsid w:val="00F74C39"/>
    <w:rsid w:val="00F82C7F"/>
    <w:rsid w:val="00F8535F"/>
    <w:rsid w:val="00F94CA8"/>
    <w:rsid w:val="00FB3398"/>
    <w:rsid w:val="00FB51C2"/>
    <w:rsid w:val="00FB52B1"/>
    <w:rsid w:val="00FD16E8"/>
    <w:rsid w:val="00FD4B1D"/>
    <w:rsid w:val="00FE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FE404"/>
  <w15:chartTrackingRefBased/>
  <w15:docId w15:val="{CE5F0693-E161-4847-871F-F9AD3281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4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4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74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74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74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A5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B75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75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75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5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59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7A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E1CA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CA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88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E3D9CB3AD5144B9A23C27EA05C265" ma:contentTypeVersion="14" ma:contentTypeDescription="Create a new document." ma:contentTypeScope="" ma:versionID="985e14b9af3bc405c0bee9eb28ad0be4">
  <xsd:schema xmlns:xsd="http://www.w3.org/2001/XMLSchema" xmlns:xs="http://www.w3.org/2001/XMLSchema" xmlns:p="http://schemas.microsoft.com/office/2006/metadata/properties" xmlns:ns2="0f22d938-54ec-450a-abed-b852ff207b83" xmlns:ns3="d6353c55-7fd0-4023-a44c-4a4366b0f5c7" xmlns:ns4="06a0b0f5-ab3f-4382-8730-459fb424e421" targetNamespace="http://schemas.microsoft.com/office/2006/metadata/properties" ma:root="true" ma:fieldsID="81de782628cebd78894c51b03bc142c8" ns2:_="" ns3:_="" ns4:_="">
    <xsd:import namespace="0f22d938-54ec-450a-abed-b852ff207b83"/>
    <xsd:import namespace="d6353c55-7fd0-4023-a44c-4a4366b0f5c7"/>
    <xsd:import namespace="06a0b0f5-ab3f-4382-8730-459fb424e4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d938-54ec-450a-abed-b852ff207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53c55-7fd0-4023-a44c-4a4366b0f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b0f5-ab3f-4382-8730-459fb424e4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4da088-de54-4fd3-86f3-f598a7d928a1}" ma:internalName="TaxCatchAll" ma:showField="CatchAllData" ma:web="d6353c55-7fd0-4023-a44c-4a4366b0f5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d938-54ec-450a-abed-b852ff207b83">
      <Terms xmlns="http://schemas.microsoft.com/office/infopath/2007/PartnerControls"/>
    </lcf76f155ced4ddcb4097134ff3c332f>
    <TaxCatchAll xmlns="06a0b0f5-ab3f-4382-8730-459fb424e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8DF43-7F30-4398-9032-60C012A08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d938-54ec-450a-abed-b852ff207b83"/>
    <ds:schemaRef ds:uri="d6353c55-7fd0-4023-a44c-4a4366b0f5c7"/>
    <ds:schemaRef ds:uri="06a0b0f5-ab3f-4382-8730-459fb424e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70B9D-078C-4EF2-A11D-C1AF679C2444}">
  <ds:schemaRefs>
    <ds:schemaRef ds:uri="http://schemas.microsoft.com/office/2006/metadata/properties"/>
    <ds:schemaRef ds:uri="http://schemas.microsoft.com/office/infopath/2007/PartnerControls"/>
    <ds:schemaRef ds:uri="0f22d938-54ec-450a-abed-b852ff207b83"/>
    <ds:schemaRef ds:uri="06a0b0f5-ab3f-4382-8730-459fb424e421"/>
  </ds:schemaRefs>
</ds:datastoreItem>
</file>

<file path=customXml/itemProps3.xml><?xml version="1.0" encoding="utf-8"?>
<ds:datastoreItem xmlns:ds="http://schemas.openxmlformats.org/officeDocument/2006/customXml" ds:itemID="{080E09F7-2038-47A6-B3C1-29823416C2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1A0A7B-3DAC-464A-9D94-5BFAF50495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2145</Words>
  <Characters>11758</Characters>
  <Application>Microsoft Office Word</Application>
  <DocSecurity>0</DocSecurity>
  <Lines>206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Links>
    <vt:vector size="6" baseType="variant">
      <vt:variant>
        <vt:i4>7471208</vt:i4>
      </vt:variant>
      <vt:variant>
        <vt:i4>0</vt:i4>
      </vt:variant>
      <vt:variant>
        <vt:i4>0</vt:i4>
      </vt:variant>
      <vt:variant>
        <vt:i4>5</vt:i4>
      </vt:variant>
      <vt:variant>
        <vt:lpwstr>https://gcc02.safelinks.protection.outlook.com/?url=https%3A%2F%2Fwww.naceweb.org%2Fcareer-readiness%2Fcompetencies%2Fcareer-readiness-defined&amp;data=05%7C02%7CSUppalapati%40highered.ohio.gov%7C24532de6bba046d32d3c08ded38c5139%7C50f8fcc494d84f0784eb36ed57c7c8a2%7C0%7C0%7C639180796821480354%7CUnknown%7CTWFpbGZsb3d8eyJFbXB0eU1hcGkiOnRydWUsIlYiOiIwLjAuMDAwMCIsIlAiOiJXaW4zMiIsIkFOIjoiTWFpbCIsIldUIjoyfQ%3D%3D%7C0%7C%7C%7C&amp;sdata=rlL%2FUGYdKLik4SVYs%2BkTnmWasZ6OaAgbCtVzW71rtTM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Uppalapati, Sri Vidya</dc:creator>
  <cp:keywords/>
  <dc:description/>
  <cp:lastModifiedBy>Uppalapati, Sri Vidya</cp:lastModifiedBy>
  <cp:revision>2</cp:revision>
  <cp:lastPrinted>2026-06-25T18:33:00Z</cp:lastPrinted>
  <dcterms:created xsi:type="dcterms:W3CDTF">2026-07-08T19:44:00Z</dcterms:created>
  <dcterms:modified xsi:type="dcterms:W3CDTF">2026-07-08T19:44:00Z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0x010100013E3D9CB3AD5144B9A23C27EA05C265</vt:lpwstr>
  </property>
  <property fmtid="{D5CDD505-2E9C-101B-9397-08002B2CF9AE}" pid="3" name="MediaServiceImageTags">
    <vt:lpwstr/>
  </property>
</Properties>
</file>